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header1.xml" ContentType="application/vnd.openxmlformats-officedocument.wordprocessingml.header+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charts/chart1.xml" ContentType="application/vnd.openxmlformats-officedocument.drawingml.chart+xml"/>
  <Override PartName="/word/charts/chart2.xml" ContentType="application/vnd.openxmlformats-officedocument.drawingml.chart+xml"/>
  <Override PartName="/word/document.xml" ContentType="application/vnd.openxmlformats-officedocument.wordprocessingml.document.main+xml"/>
  <Override PartName="/word/footer1.xml" ContentType="application/vnd.openxmlformats-officedocument.wordprocessingml.foot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right"/>
        <w:rPr/>
      </w:pPr>
      <w:r>
        <w:rPr/>
        <w:t>Приложение № 1</w:t>
      </w:r>
    </w:p>
    <w:p>
      <w:pPr>
        <w:pStyle w:val="Normal"/>
        <w:bidi w:val="0"/>
        <w:jc w:val="center"/>
        <w:rPr>
          <w:rFonts w:ascii="Times New Roman" w:hAnsi="Times New Roman" w:eastAsia="Times New Roman"/>
          <w:b/>
          <w:b/>
          <w:bCs/>
          <w:color w:val="auto"/>
          <w:sz w:val="28"/>
          <w:szCs w:val="28"/>
          <w:lang w:eastAsia="ar-SA"/>
        </w:rPr>
      </w:pPr>
      <w:r>
        <w:rPr/>
      </w:r>
    </w:p>
    <w:p>
      <w:pPr>
        <w:pStyle w:val="Normal"/>
        <w:bidi w:val="0"/>
        <w:jc w:val="center"/>
        <w:rPr>
          <w:rFonts w:ascii="Times New Roman" w:hAnsi="Times New Roman" w:eastAsia="Times New Roman"/>
          <w:b/>
          <w:b/>
          <w:bCs/>
          <w:color w:val="auto"/>
          <w:sz w:val="28"/>
          <w:szCs w:val="28"/>
          <w:lang w:eastAsia="ar-SA"/>
        </w:rPr>
      </w:pPr>
      <w:r>
        <w:rPr>
          <w:rFonts w:eastAsia="Times New Roman" w:ascii="Times New Roman" w:hAnsi="Times New Roman"/>
          <w:b/>
          <w:bCs/>
          <w:color w:val="auto"/>
          <w:sz w:val="28"/>
          <w:szCs w:val="28"/>
          <w:lang w:eastAsia="ar-SA"/>
        </w:rPr>
        <w:t>О профилактической работе по предупреждению гибели</w:t>
      </w:r>
    </w:p>
    <w:p>
      <w:pPr>
        <w:pStyle w:val="Normal"/>
        <w:bidi w:val="0"/>
        <w:jc w:val="center"/>
        <w:rPr>
          <w:rFonts w:ascii="Times New Roman" w:hAnsi="Times New Roman" w:eastAsia="Times New Roman"/>
          <w:b/>
          <w:b/>
          <w:bCs/>
          <w:color w:val="auto"/>
          <w:sz w:val="28"/>
          <w:szCs w:val="28"/>
          <w:lang w:eastAsia="ar-SA"/>
        </w:rPr>
      </w:pPr>
      <w:r>
        <w:rPr>
          <w:rFonts w:eastAsia="Times New Roman" w:ascii="Times New Roman" w:hAnsi="Times New Roman"/>
          <w:b/>
          <w:bCs/>
          <w:color w:val="auto"/>
          <w:sz w:val="28"/>
          <w:szCs w:val="28"/>
          <w:lang w:eastAsia="ar-SA"/>
        </w:rPr>
        <w:t>несовершеннолетних в результате пожаров</w:t>
      </w:r>
    </w:p>
    <w:p>
      <w:pPr>
        <w:pStyle w:val="Normal"/>
        <w:bidi w:val="0"/>
        <w:spacing w:lineRule="auto" w:line="240"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bidi w:val="0"/>
        <w:spacing w:lineRule="auto" w:line="240" w:before="0" w:after="0"/>
        <w:ind w:left="0" w:right="0" w:firstLine="709"/>
        <w:jc w:val="both"/>
        <w:rPr>
          <w:rFonts w:ascii="Times New Roman" w:hAnsi="Times New Roman" w:cs="Times New Roman"/>
          <w:sz w:val="28"/>
          <w:szCs w:val="28"/>
        </w:rPr>
      </w:pPr>
      <w:r>
        <w:rPr>
          <w:rFonts w:cs="Times New Roman" w:ascii="Times New Roman" w:hAnsi="Times New Roman"/>
          <w:sz w:val="28"/>
          <w:szCs w:val="28"/>
        </w:rPr>
        <w:t>Обстановку с пожарами на территории Свердловской области, последствия которых привели к гибели несовершеннолетних нельзя назвать благополучной.</w:t>
      </w:r>
    </w:p>
    <w:p>
      <w:pPr>
        <w:pStyle w:val="Normal"/>
        <w:bidi w:val="0"/>
        <w:spacing w:lineRule="auto" w:line="240" w:before="0" w:after="0"/>
        <w:ind w:left="0" w:right="0" w:firstLine="709"/>
        <w:jc w:val="both"/>
        <w:rPr/>
      </w:pPr>
      <w:r>
        <w:rPr>
          <w:rFonts w:cs="Times New Roman" w:ascii="Times New Roman" w:hAnsi="Times New Roman"/>
          <w:sz w:val="28"/>
          <w:szCs w:val="28"/>
        </w:rPr>
        <w:t>За 5 лет зарегистрировано 59 пожаров с гибелью несовершеннолетних.</w:t>
      </w:r>
    </w:p>
    <w:p>
      <w:pPr>
        <w:pStyle w:val="Normal"/>
        <w:bidi w:val="0"/>
        <w:spacing w:lineRule="auto" w:line="240" w:before="0" w:after="0"/>
        <w:ind w:left="0" w:right="0" w:firstLine="709"/>
        <w:jc w:val="both"/>
        <w:rPr/>
      </w:pPr>
      <w:r/>
      <w:r>
        <w:rPr>
          <w:rFonts w:cs="Times New Roman" w:ascii="Times New Roman" w:hAnsi="Times New Roman"/>
          <w:sz w:val="28"/>
          <w:szCs w:val="28"/>
        </w:rPr>
        <w:drawing>
          <wp:anchor behindDoc="0" distT="0" distB="0" distL="0" distR="0" simplePos="0" locked="0" layoutInCell="1" allowOverlap="1" relativeHeight="2">
            <wp:simplePos x="0" y="0"/>
            <wp:positionH relativeFrom="column">
              <wp:posOffset>1042670</wp:posOffset>
            </wp:positionH>
            <wp:positionV relativeFrom="paragraph">
              <wp:posOffset>54610</wp:posOffset>
            </wp:positionV>
            <wp:extent cx="4975225" cy="2800985"/>
            <wp:effectExtent l="0" t="0" r="0" b="0"/>
            <wp:wrapTopAndBottom/>
            <wp:docPr id="1"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2"/>
              </a:graphicData>
            </a:graphic>
          </wp:anchor>
        </w:drawing>
        <w:t>Д</w:t>
      </w:r>
      <w:r>
        <w:rPr>
          <w:rFonts w:cs="Times New Roman" w:ascii="Times New Roman" w:hAnsi="Times New Roman"/>
          <w:sz w:val="28"/>
          <w:szCs w:val="28"/>
        </w:rPr>
        <w:t>инамика изменения обстановки с пожарами характеризуется ежегодным чередованием каждый год снижения и увеличения количества пожаров в период с 2018 по 2022 года, в 2022 году зарегистрирован рост на 10 %. В 2022 году по сравнению с 2018 годом зарегистрировано повышение по данному показателю в 1,1 раза.</w:t>
      </w:r>
    </w:p>
    <w:p>
      <w:pPr>
        <w:pStyle w:val="Normal"/>
        <w:bidi w:val="0"/>
        <w:spacing w:lineRule="auto" w:line="240" w:before="0" w:after="0"/>
        <w:ind w:left="0" w:right="0" w:firstLine="709"/>
        <w:jc w:val="both"/>
        <w:rPr/>
      </w:pPr>
      <w:r>
        <w:rPr>
          <w:rFonts w:cs="Times New Roman" w:ascii="Times New Roman" w:hAnsi="Times New Roman"/>
          <w:sz w:val="28"/>
          <w:szCs w:val="28"/>
        </w:rPr>
        <w:t>За 5 лет на данных пожарах погибли 76 несовершеннолетних. Динамика изменения обстановки с погибшими при пожарах несовершеннолетними характеризуется чередованием каждый год снижения и увеличения количества погибших несовершеннолетних. В 2022 году по сравнению с 2018 годом зарегистрировано снижение по данному показателю на 32 %.</w:t>
      </w:r>
    </w:p>
    <w:p>
      <w:pPr>
        <w:pStyle w:val="Normal"/>
        <w:bidi w:val="0"/>
        <w:spacing w:lineRule="auto" w:line="240" w:before="0" w:after="0"/>
        <w:ind w:left="0" w:right="0" w:firstLine="709"/>
        <w:jc w:val="both"/>
        <w:rPr/>
      </w:pPr>
      <w:r>
        <w:rPr>
          <w:rFonts w:cs="Times New Roman" w:ascii="Times New Roman" w:hAnsi="Times New Roman"/>
          <w:sz w:val="28"/>
          <w:szCs w:val="28"/>
        </w:rPr>
        <w:t>В целом ежегодно на территории Свердловской области на пожарах гибнет 15 детей.</w:t>
      </w:r>
    </w:p>
    <w:p>
      <w:pPr>
        <w:pStyle w:val="Normal"/>
        <w:bidi w:val="0"/>
        <w:spacing w:lineRule="auto" w:line="240" w:before="0" w:after="0"/>
        <w:ind w:left="0" w:right="0" w:firstLine="709"/>
        <w:jc w:val="both"/>
        <w:rPr>
          <w:rFonts w:ascii="Times New Roman" w:hAnsi="Times New Roman" w:cs="Times New Roman"/>
          <w:sz w:val="28"/>
          <w:szCs w:val="28"/>
        </w:rPr>
      </w:pPr>
      <w:r>
        <w:rPr>
          <w:rFonts w:cs="Times New Roman" w:ascii="Times New Roman" w:hAnsi="Times New Roman"/>
          <w:sz w:val="28"/>
          <w:szCs w:val="28"/>
        </w:rPr>
        <w:drawing>
          <wp:anchor behindDoc="0" distT="0" distB="0" distL="0" distR="0" simplePos="0" locked="0" layoutInCell="1" allowOverlap="1" relativeHeight="3">
            <wp:simplePos x="0" y="0"/>
            <wp:positionH relativeFrom="column">
              <wp:align>center</wp:align>
            </wp:positionH>
            <wp:positionV relativeFrom="paragraph">
              <wp:posOffset>635</wp:posOffset>
            </wp:positionV>
            <wp:extent cx="5111750" cy="2875915"/>
            <wp:effectExtent l="0" t="0" r="0" b="0"/>
            <wp:wrapTopAndBottom/>
            <wp:docPr id="2"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3"/>
              </a:graphicData>
            </a:graphic>
          </wp:anchor>
        </w:drawing>
      </w:r>
    </w:p>
    <w:p>
      <w:pPr>
        <w:pStyle w:val="Normal"/>
        <w:bidi w:val="0"/>
        <w:spacing w:lineRule="auto" w:line="240" w:before="0" w:after="0"/>
        <w:ind w:left="0" w:right="0" w:firstLine="709"/>
        <w:jc w:val="both"/>
        <w:rPr/>
      </w:pPr>
      <w:r>
        <w:rPr>
          <w:rFonts w:cs="Times New Roman" w:ascii="Times New Roman" w:hAnsi="Times New Roman"/>
          <w:sz w:val="28"/>
          <w:szCs w:val="28"/>
        </w:rPr>
        <w:t>Количество пожаров и гибель несовершеннолетних в 100 % случаев зарегистрирована в жилом секторе и в многоквартирных жилых домах, из них в 93  % при возникновении пожаров в частных жилых домах (71 несовершеннолетний), 5 % погибших в садовых домах и дачах (4 несовершеннолетних). 1 % погибших в зданиях, сооружениях и помещениях предприятий торговли (1 несовершеннолетний).</w:t>
      </w:r>
    </w:p>
    <w:p>
      <w:pPr>
        <w:pStyle w:val="Normal"/>
        <w:bidi w:val="0"/>
        <w:spacing w:lineRule="auto" w:line="240" w:before="0" w:after="0"/>
        <w:ind w:left="0" w:right="0" w:firstLine="709"/>
        <w:jc w:val="both"/>
        <w:rPr>
          <w:rFonts w:ascii="Times New Roman" w:hAnsi="Times New Roman" w:cs="Times New Roman"/>
          <w:sz w:val="28"/>
          <w:szCs w:val="28"/>
        </w:rPr>
      </w:pPr>
      <w:r>
        <w:rPr>
          <w:rFonts w:cs="Times New Roman" w:ascii="Times New Roman" w:hAnsi="Times New Roman"/>
          <w:sz w:val="28"/>
          <w:szCs w:val="28"/>
        </w:rPr>
        <w:t>Возраст погибших несовершеннолетних при возникновении пожаров в ночные и ранние утренние часы:</w:t>
      </w:r>
    </w:p>
    <w:p>
      <w:pPr>
        <w:pStyle w:val="Normal"/>
        <w:bidi w:val="0"/>
        <w:spacing w:lineRule="auto" w:line="240" w:before="0" w:after="0"/>
        <w:ind w:left="0" w:right="0" w:firstLine="709"/>
        <w:jc w:val="both"/>
        <w:rPr/>
      </w:pPr>
      <w:r>
        <w:rPr>
          <w:rFonts w:cs="Times New Roman" w:ascii="Times New Roman" w:hAnsi="Times New Roman"/>
          <w:sz w:val="28"/>
          <w:szCs w:val="28"/>
        </w:rPr>
        <w:t>- до 7 лет составляет 38 % (29 несовершеннолетних).</w:t>
      </w:r>
    </w:p>
    <w:p>
      <w:pPr>
        <w:pStyle w:val="Normal"/>
        <w:bidi w:val="0"/>
        <w:spacing w:lineRule="auto" w:line="240" w:before="0" w:after="0"/>
        <w:ind w:left="0" w:right="0" w:firstLine="709"/>
        <w:jc w:val="both"/>
        <w:rPr/>
      </w:pPr>
      <w:r>
        <w:rPr>
          <w:rFonts w:cs="Times New Roman" w:ascii="Times New Roman" w:hAnsi="Times New Roman"/>
          <w:sz w:val="28"/>
          <w:szCs w:val="28"/>
        </w:rPr>
        <w:t xml:space="preserve">- с 7 до 11 лет составляет 41 % (31 несовершеннолетних). </w:t>
      </w:r>
    </w:p>
    <w:p>
      <w:pPr>
        <w:pStyle w:val="Normal"/>
        <w:bidi w:val="0"/>
        <w:spacing w:lineRule="auto" w:line="240" w:before="0" w:after="0"/>
        <w:ind w:left="0" w:right="0" w:firstLine="709"/>
        <w:jc w:val="both"/>
        <w:rPr/>
      </w:pPr>
      <w:r>
        <w:rPr>
          <w:rFonts w:cs="Times New Roman" w:ascii="Times New Roman" w:hAnsi="Times New Roman"/>
          <w:sz w:val="28"/>
          <w:szCs w:val="28"/>
        </w:rPr>
        <w:t>- с 11 до 18 лет составляет 21 % (16 несовершеннолетних).</w:t>
      </w:r>
    </w:p>
    <w:p>
      <w:pPr>
        <w:pStyle w:val="Normal"/>
        <w:bidi w:val="0"/>
        <w:spacing w:lineRule="auto" w:line="240" w:before="0" w:after="0"/>
        <w:ind w:left="0" w:right="0" w:firstLine="709"/>
        <w:jc w:val="both"/>
        <w:rPr/>
      </w:pPr>
      <w:r>
        <w:rPr>
          <w:rFonts w:cs="Times New Roman" w:ascii="Times New Roman" w:hAnsi="Times New Roman"/>
          <w:sz w:val="28"/>
          <w:szCs w:val="28"/>
        </w:rPr>
        <w:t>Несовершеннолетних школьного возраста погибло 47 (62 % от общего количества), дошкольного возраста 29 несовершеннолетних (38 % от общего количества).</w:t>
      </w:r>
    </w:p>
    <w:p>
      <w:pPr>
        <w:pStyle w:val="Normal"/>
        <w:bidi w:val="0"/>
        <w:spacing w:lineRule="auto" w:line="240" w:before="0" w:after="0"/>
        <w:ind w:left="0" w:right="0" w:firstLine="709"/>
        <w:jc w:val="both"/>
        <w:rPr/>
      </w:pPr>
      <w:r>
        <w:rPr>
          <w:rFonts w:cs="Times New Roman" w:ascii="Times New Roman" w:hAnsi="Times New Roman"/>
          <w:sz w:val="28"/>
          <w:szCs w:val="28"/>
        </w:rPr>
        <w:t>На территории Свердловской области в пятилетней динамике выделяются 27 муниципальных образований, в которых отмечается гибель несовершеннолетних при пожарах: МО «город Екатеринбург» (11 несовершеннолетних), МО Алапаевское (1 несовершеннолетний), Белоярский ГО (1 несовершеннолетний), МО «город Ирбит» (1 несовершеннолетний), Ирбитское МО (1 несовершеннолетний), МО «город Каменск-Уральский» (2 несовершеннолетних), Невьянский ГО (3 несовершеннолетних), ГО Краснотурьинск (1 несовершеннолетний), Волчанский ГО (1 несовершеннолетний), Артинский ГО (2 несовершеннолетних), МО город Нижний Тагил (6 несовершеннолетних), Горноуральский ГО (9 несовершеннолетних), Полевской ГО (3 несовершеннолетних), Режевской ГО (1 несовершеннолетний), Сосьвинский ГО (1 несовершеннолетний), Сысертский ГО (3  несовершеннолетний), Тавдинский ГО (3 несовершеннолетний), Талицкий ГО (3 несовершеннолетних), Туринский ГО (5 несовершеннолетних), ГО Верхняя Пышма (1 несовершеннолетний), Ивдельский ГО (1 несовершеннолетний), Камышловский МР (2 несовершеннолетних), Таборинский МР (2 несовершеннолетних), ГО Заречный (3 несовершеннолетних), Серовский ГО (1 несовершеннолетний), Кировградский ГО (2 несовершеннолетних), ГО Богданович (6 несовершеннолетних).</w:t>
      </w:r>
    </w:p>
    <w:p>
      <w:pPr>
        <w:pStyle w:val="Normal"/>
        <w:bidi w:val="0"/>
        <w:spacing w:lineRule="auto" w:line="240" w:before="0" w:after="0"/>
        <w:ind w:left="0" w:right="0" w:firstLine="709"/>
        <w:jc w:val="both"/>
        <w:rPr>
          <w:rFonts w:ascii="Times New Roman" w:hAnsi="Times New Roman" w:cs="Times New Roman"/>
          <w:sz w:val="28"/>
          <w:szCs w:val="28"/>
        </w:rPr>
      </w:pPr>
      <w:r>
        <w:rPr>
          <w:rFonts w:cs="Times New Roman" w:ascii="Times New Roman" w:hAnsi="Times New Roman"/>
          <w:sz w:val="28"/>
          <w:szCs w:val="28"/>
        </w:rPr>
        <w:t xml:space="preserve">Как правило, случаи гибели носят спорадический (случайный) характер и не зависят ни от количества населения территории, ни от ее статуса (город, пгт, рп, сельская местность). </w:t>
      </w:r>
    </w:p>
    <w:p>
      <w:pPr>
        <w:pStyle w:val="Normal"/>
        <w:bidi w:val="0"/>
        <w:spacing w:lineRule="auto" w:line="240" w:before="0" w:after="0"/>
        <w:ind w:left="0" w:right="0" w:firstLine="709"/>
        <w:jc w:val="both"/>
        <w:rPr>
          <w:rFonts w:ascii="Times New Roman" w:hAnsi="Times New Roman" w:cs="Times New Roman"/>
          <w:sz w:val="28"/>
          <w:szCs w:val="28"/>
        </w:rPr>
      </w:pPr>
      <w:r>
        <w:rPr>
          <w:rFonts w:cs="Times New Roman" w:ascii="Times New Roman" w:hAnsi="Times New Roman"/>
          <w:sz w:val="28"/>
          <w:szCs w:val="28"/>
        </w:rPr>
        <w:t>В 2022 году впервые за последние пять лет детская гибель зарегистрирована в  следующих муниципальных образованиях Свердловской области: МО Алапаевское, Белоярский ГО, МО «город Ирбит», Ирбитское МО, ГО Краснотурьинск, Волчанский ГО, Режевской ГО, Сосьвинский ГО, ГО Верхняя Пышма, Ивдельский ГО, Серовский ГО.</w:t>
      </w:r>
    </w:p>
    <w:p>
      <w:pPr>
        <w:pStyle w:val="Normal"/>
        <w:bidi w:val="0"/>
        <w:spacing w:lineRule="auto" w:line="240" w:before="0" w:after="0"/>
        <w:ind w:left="0" w:right="0" w:firstLine="709"/>
        <w:jc w:val="both"/>
        <w:rPr>
          <w:rFonts w:ascii="Times New Roman" w:hAnsi="Times New Roman" w:cs="Times New Roman"/>
          <w:sz w:val="28"/>
          <w:szCs w:val="28"/>
        </w:rPr>
      </w:pPr>
      <w:r>
        <w:rPr>
          <w:rFonts w:cs="Times New Roman" w:ascii="Times New Roman" w:hAnsi="Times New Roman"/>
          <w:sz w:val="28"/>
          <w:szCs w:val="28"/>
        </w:rPr>
        <w:t>Систематическая гибель несовершеннолетних регистрировалась на территории пяти муниципальных образований – МО «город Екатеринбург», Горноуральский ГО, город Нижний Тагил, Туринский ГО, ГО Богданович.</w:t>
      </w:r>
    </w:p>
    <w:p>
      <w:pPr>
        <w:pStyle w:val="Normal"/>
        <w:bidi w:val="0"/>
        <w:spacing w:lineRule="auto" w:line="240" w:before="0" w:after="0"/>
        <w:ind w:left="0" w:right="0"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Основной причиной возникновения пожаров послужило ненадлежащее отношение взрослых к обеспечению соответствующих условий по пожарной безопасности состояния жилого помещения, которое в основном выражалось в следующих действиях или бездействии:</w:t>
      </w:r>
    </w:p>
    <w:p>
      <w:pPr>
        <w:pStyle w:val="Normal"/>
        <w:bidi w:val="0"/>
        <w:spacing w:lineRule="auto" w:line="240" w:before="0" w:after="0"/>
        <w:ind w:left="0" w:right="0" w:firstLine="709"/>
        <w:jc w:val="both"/>
        <w:rPr/>
      </w:pPr>
      <w:r>
        <w:rPr>
          <w:rFonts w:eastAsia="Times New Roman" w:cs="Times New Roman" w:ascii="Times New Roman" w:hAnsi="Times New Roman"/>
          <w:iCs/>
          <w:sz w:val="28"/>
          <w:szCs w:val="28"/>
          <w:lang w:eastAsia="ru-RU"/>
        </w:rPr>
        <w:t>Неосторожное обращение с огнем – погибло 33 несовершеннолетних (46% от общего количества); из них по причине неосторожное обращение с огнем детей погибло - 20 несовершеннолетних (26%); нарушение правил устройства и эксплуатации (НПУиЭ) электрооборудования – погибло 31 несовершеннолетний (41%); поджог - погибло 3 несовершеннолетних (4%); от шалости детей - погибло 7 несовершеннолетних (8%); неосторожного обращения с огнем при курении — погибло 2 несовершеннолетних (3%); (НПУиЭ) печей – погибло 5 несовершеннолетних (8%); (НПУиЭ) газового оборудования –  погибло 4 несовершеннолетних (5%); причина не установлена - погибло 4 несовершеннолетних.</w:t>
      </w:r>
    </w:p>
    <w:sectPr>
      <w:headerReference w:type="default" r:id="rId4"/>
      <w:footerReference w:type="default" r:id="rId5"/>
      <w:type w:val="nextPage"/>
      <w:pgSz w:w="11906" w:h="16838"/>
      <w:pgMar w:left="1134" w:right="567" w:header="567" w:top="1134" w:footer="567" w:bottom="1134" w:gutter="0"/>
      <w:pgNumType w:fmt="decimal"/>
      <w:formProt w:val="false"/>
      <w:titlePg/>
      <w:textDirection w:val="lrTb"/>
      <w:docGrid w:type="default" w:linePitch="600" w:charSpace="2457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erif">
    <w:altName w:val="Times New Roman"/>
    <w:charset w:val="01"/>
    <w:family w:val="roman"/>
    <w:pitch w:val="default"/>
  </w:font>
  <w:font w:name="PT Astra Serif">
    <w:charset w:val="01"/>
    <w:family w:val="roman"/>
    <w:pitch w:val="default"/>
  </w:font>
  <w:font w:name="OpenSymbol">
    <w:altName w:val="Arial Unicode MS"/>
    <w:charset w:val="01"/>
    <w:family w:val="roman"/>
    <w:pitch w:val="default"/>
  </w:font>
  <w:font w:name="Liberation Mono">
    <w:altName w:val="Courier New"/>
    <w:charset w:val="01"/>
    <w:family w:val="roman"/>
    <w:pitch w:val="default"/>
  </w:font>
  <w:font w:name="Times New Roman">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53"/>
      <w:bidi w:val="0"/>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50"/>
      <w:bidi w:val="0"/>
      <w:jc w:val="center"/>
      <w:rPr/>
    </w:pPr>
    <w:r>
      <w:rPr/>
    </w:r>
  </w:p>
</w:hdr>
</file>

<file path=word/settings.xml><?xml version="1.0" encoding="utf-8"?>
<w:settings xmlns:w="http://schemas.openxmlformats.org/wordprocessingml/2006/main">
  <w:zoom w:percent="100"/>
  <w:defaultTabStop w:val="709"/>
  <w:autoHyphenation w:val="tru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kern w:val="2"/>
        <w:sz w:val="24"/>
        <w:szCs w:val="24"/>
        <w:lang w:val="ru-RU" w:eastAsia="ru-RU" w:bidi="ru-RU"/>
      </w:rPr>
    </w:rPrDefault>
    <w:pPrDefault>
      <w:pPr>
        <w:suppressAutoHyphens w:val="true"/>
      </w:pPr>
    </w:pPrDefault>
  </w:docDefaults>
  <w:style w:type="paragraph" w:styleId="Normal">
    <w:name w:val="Normal"/>
    <w:qFormat/>
    <w:pPr>
      <w:widowControl w:val="false"/>
      <w:suppressAutoHyphens w:val="true"/>
      <w:overflowPunct w:val="false"/>
      <w:bidi w:val="0"/>
      <w:spacing w:lineRule="auto" w:line="240" w:before="0" w:after="0"/>
      <w:jc w:val="center"/>
    </w:pPr>
    <w:rPr>
      <w:rFonts w:ascii="PT Astra Serif" w:hAnsi="PT Astra Serif" w:eastAsia="Source Han Sans CN Regular" w:cs="Lohit Devanagari"/>
      <w:color w:val="auto"/>
      <w:kern w:val="2"/>
      <w:sz w:val="28"/>
      <w:szCs w:val="24"/>
      <w:lang w:val="ru-RU" w:eastAsia="ru-RU" w:bidi="ru-RU"/>
    </w:rPr>
  </w:style>
  <w:style w:type="paragraph" w:styleId="1">
    <w:name w:val="Heading 1"/>
    <w:basedOn w:val="Style31"/>
    <w:next w:val="BodyTextIndent"/>
    <w:qFormat/>
    <w:pPr>
      <w:spacing w:before="0" w:after="0"/>
      <w:outlineLvl w:val="0"/>
    </w:pPr>
    <w:rPr/>
  </w:style>
  <w:style w:type="paragraph" w:styleId="2">
    <w:name w:val="Heading 2"/>
    <w:basedOn w:val="Style31"/>
    <w:next w:val="Style32"/>
    <w:qFormat/>
    <w:pPr>
      <w:spacing w:before="0" w:after="0"/>
      <w:outlineLvl w:val="1"/>
    </w:pPr>
    <w:rPr/>
  </w:style>
  <w:style w:type="paragraph" w:styleId="3">
    <w:name w:val="Heading 3"/>
    <w:basedOn w:val="Style31"/>
    <w:next w:val="Style32"/>
    <w:qFormat/>
    <w:pPr>
      <w:spacing w:before="0" w:after="0"/>
      <w:outlineLvl w:val="2"/>
    </w:pPr>
    <w:rPr/>
  </w:style>
  <w:style w:type="paragraph" w:styleId="4">
    <w:name w:val="Heading 4"/>
    <w:basedOn w:val="Style31"/>
    <w:next w:val="Style32"/>
    <w:qFormat/>
    <w:pPr>
      <w:spacing w:before="0" w:after="0"/>
    </w:pPr>
    <w:rPr/>
  </w:style>
  <w:style w:type="paragraph" w:styleId="5">
    <w:name w:val="Heading 5"/>
    <w:basedOn w:val="Style31"/>
    <w:next w:val="Style32"/>
    <w:qFormat/>
    <w:pPr>
      <w:spacing w:before="0" w:after="0"/>
    </w:pPr>
    <w:rPr/>
  </w:style>
  <w:style w:type="paragraph" w:styleId="6">
    <w:name w:val="Heading 6"/>
    <w:basedOn w:val="Style31"/>
    <w:next w:val="Style32"/>
    <w:qFormat/>
    <w:pPr/>
    <w:rPr/>
  </w:style>
  <w:style w:type="paragraph" w:styleId="7">
    <w:name w:val="Heading 7"/>
    <w:basedOn w:val="Style31"/>
    <w:next w:val="Style32"/>
    <w:qFormat/>
    <w:pPr>
      <w:spacing w:before="0" w:after="0"/>
    </w:pPr>
    <w:rPr/>
  </w:style>
  <w:style w:type="paragraph" w:styleId="8">
    <w:name w:val="Heading 8"/>
    <w:basedOn w:val="Style31"/>
    <w:next w:val="Style32"/>
    <w:qFormat/>
    <w:pPr>
      <w:spacing w:before="0" w:after="0"/>
    </w:pPr>
    <w:rPr/>
  </w:style>
  <w:style w:type="paragraph" w:styleId="9">
    <w:name w:val="Heading 9"/>
    <w:basedOn w:val="Style31"/>
    <w:next w:val="Style32"/>
    <w:qFormat/>
    <w:pPr>
      <w:spacing w:before="0" w:after="0"/>
    </w:pPr>
    <w:rPr/>
  </w:style>
  <w:style w:type="character" w:styleId="Style5">
    <w:name w:val="Символ нумерации"/>
    <w:qFormat/>
    <w:rPr/>
  </w:style>
  <w:style w:type="character" w:styleId="Style6">
    <w:name w:val="Маркеры списка"/>
    <w:qFormat/>
    <w:rPr>
      <w:rFonts w:ascii="OpenSymbol" w:hAnsi="OpenSymbol" w:eastAsia="OpenSymbol" w:cs="OpenSymbol"/>
    </w:rPr>
  </w:style>
  <w:style w:type="character" w:styleId="Style7">
    <w:name w:val="Символ сноски"/>
    <w:qFormat/>
    <w:rPr/>
  </w:style>
  <w:style w:type="character" w:styleId="Style8">
    <w:name w:val="Привязка сноски"/>
    <w:rPr>
      <w:vertAlign w:val="superscript"/>
    </w:rPr>
  </w:style>
  <w:style w:type="character" w:styleId="Style9">
    <w:name w:val="Номер страницы"/>
    <w:rPr/>
  </w:style>
  <w:style w:type="character" w:styleId="Style10">
    <w:name w:val="Символы названия"/>
    <w:qFormat/>
    <w:rPr/>
  </w:style>
  <w:style w:type="character" w:styleId="Style11">
    <w:name w:val="Буквица"/>
    <w:qFormat/>
    <w:rPr/>
  </w:style>
  <w:style w:type="character" w:styleId="Style12">
    <w:name w:val="Интернет-ссылка"/>
    <w:rPr>
      <w:color w:val="000080"/>
      <w:u w:val="single"/>
      <w:lang w:val="zxx" w:eastAsia="zxx" w:bidi="zxx"/>
    </w:rPr>
  </w:style>
  <w:style w:type="character" w:styleId="Style13">
    <w:name w:val="Посещённая гиперссылка"/>
    <w:rPr>
      <w:color w:val="800000"/>
      <w:u w:val="single"/>
      <w:lang w:val="zxx" w:eastAsia="zxx" w:bidi="zxx"/>
    </w:rPr>
  </w:style>
  <w:style w:type="character" w:styleId="Style14">
    <w:name w:val="Заполнитель"/>
    <w:qFormat/>
    <w:rPr>
      <w:smallCaps/>
      <w:color w:val="008080"/>
      <w:u w:val="dotted"/>
    </w:rPr>
  </w:style>
  <w:style w:type="character" w:styleId="Style15">
    <w:name w:val="Ссылка указателя"/>
    <w:qFormat/>
    <w:rPr/>
  </w:style>
  <w:style w:type="character" w:styleId="Style16">
    <w:name w:val="Символ концевой сноски"/>
    <w:qFormat/>
    <w:rPr/>
  </w:style>
  <w:style w:type="character" w:styleId="Style17">
    <w:name w:val="Нумерация строк"/>
    <w:rPr/>
  </w:style>
  <w:style w:type="character" w:styleId="Style18">
    <w:name w:val="Основной элемент указателя"/>
    <w:qFormat/>
    <w:rPr>
      <w:b/>
      <w:bCs/>
    </w:rPr>
  </w:style>
  <w:style w:type="character" w:styleId="Style19">
    <w:name w:val="Привязка концевой сноски"/>
    <w:rPr>
      <w:vertAlign w:val="superscript"/>
    </w:rPr>
  </w:style>
  <w:style w:type="character" w:styleId="Style20">
    <w:name w:val="Фуригана"/>
    <w:qFormat/>
    <w:rPr>
      <w:sz w:val="12"/>
      <w:szCs w:val="12"/>
      <w:u w:val="none"/>
      <w:em w:val="none"/>
    </w:rPr>
  </w:style>
  <w:style w:type="character" w:styleId="Style21">
    <w:name w:val="Вертикальное направление символов"/>
    <w:qFormat/>
    <w:rPr>
      <w:eastAsianLayout w:vert="true"/>
    </w:rPr>
  </w:style>
  <w:style w:type="character" w:styleId="Style22">
    <w:name w:val="Выделение"/>
    <w:qFormat/>
    <w:rPr>
      <w:i/>
      <w:iCs/>
    </w:rPr>
  </w:style>
  <w:style w:type="character" w:styleId="Style23">
    <w:name w:val="Цитата"/>
    <w:qFormat/>
    <w:rPr>
      <w:i/>
      <w:iCs/>
    </w:rPr>
  </w:style>
  <w:style w:type="character" w:styleId="Style24">
    <w:name w:val="Выделение жирным"/>
    <w:qFormat/>
    <w:rPr>
      <w:b/>
      <w:bCs/>
    </w:rPr>
  </w:style>
  <w:style w:type="character" w:styleId="Style25">
    <w:name w:val="Исходный текст"/>
    <w:qFormat/>
    <w:rPr>
      <w:rFonts w:ascii="Liberation Mono" w:hAnsi="Liberation Mono" w:eastAsia="Liberation Mono" w:cs="Liberation Mono"/>
    </w:rPr>
  </w:style>
  <w:style w:type="character" w:styleId="Style26">
    <w:name w:val="Пример"/>
    <w:qFormat/>
    <w:rPr>
      <w:rFonts w:ascii="Liberation Mono" w:hAnsi="Liberation Mono" w:eastAsia="Liberation Mono" w:cs="Liberation Mono"/>
    </w:rPr>
  </w:style>
  <w:style w:type="character" w:styleId="Style27">
    <w:name w:val="Ввод пользователя"/>
    <w:qFormat/>
    <w:rPr>
      <w:rFonts w:ascii="Liberation Mono" w:hAnsi="Liberation Mono" w:eastAsia="Liberation Mono" w:cs="Liberation Mono"/>
    </w:rPr>
  </w:style>
  <w:style w:type="character" w:styleId="Style28">
    <w:name w:val="Переменная"/>
    <w:qFormat/>
    <w:rPr>
      <w:i/>
      <w:iCs/>
    </w:rPr>
  </w:style>
  <w:style w:type="character" w:styleId="Style29">
    <w:name w:val="Определение"/>
    <w:qFormat/>
    <w:rPr/>
  </w:style>
  <w:style w:type="character" w:styleId="Style30">
    <w:name w:val="Непропорциональный текст"/>
    <w:qFormat/>
    <w:rPr>
      <w:rFonts w:ascii="Liberation Mono" w:hAnsi="Liberation Mono" w:eastAsia="Liberation Mono" w:cs="Liberation Mono"/>
    </w:rPr>
  </w:style>
  <w:style w:type="paragraph" w:styleId="Style31">
    <w:name w:val="Заголовок"/>
    <w:basedOn w:val="Normal"/>
    <w:next w:val="BodyTextIndent"/>
    <w:qFormat/>
    <w:pPr>
      <w:keepNext w:val="false"/>
      <w:spacing w:before="0" w:after="0"/>
      <w:jc w:val="center"/>
    </w:pPr>
    <w:rPr>
      <w:b/>
    </w:rPr>
  </w:style>
  <w:style w:type="paragraph" w:styleId="Style32">
    <w:name w:val="Body Text"/>
    <w:basedOn w:val="Normal"/>
    <w:pPr>
      <w:jc w:val="both"/>
    </w:pPr>
    <w:rPr/>
  </w:style>
  <w:style w:type="paragraph" w:styleId="Style33">
    <w:name w:val="List"/>
    <w:basedOn w:val="Style32"/>
    <w:pPr/>
    <w:rPr>
      <w:rFonts w:cs="Lohit Devanagari"/>
    </w:rPr>
  </w:style>
  <w:style w:type="paragraph" w:styleId="Style34">
    <w:name w:val="Caption"/>
    <w:basedOn w:val="Normal"/>
    <w:qFormat/>
    <w:pPr>
      <w:spacing w:before="0" w:after="0"/>
    </w:pPr>
    <w:rPr>
      <w:rFonts w:cs="Lohit Devanagari"/>
      <w:i w:val="false"/>
      <w:iCs w:val="false"/>
      <w:sz w:val="28"/>
      <w:szCs w:val="24"/>
    </w:rPr>
  </w:style>
  <w:style w:type="paragraph" w:styleId="Style35">
    <w:name w:val="Указатель"/>
    <w:basedOn w:val="Normal"/>
    <w:qFormat/>
    <w:pPr>
      <w:jc w:val="left"/>
    </w:pPr>
    <w:rPr>
      <w:rFonts w:cs="Lohit Devanagari"/>
    </w:rPr>
  </w:style>
  <w:style w:type="paragraph" w:styleId="Style36">
    <w:name w:val="Блочная цитата"/>
    <w:basedOn w:val="Normal"/>
    <w:qFormat/>
    <w:pPr>
      <w:spacing w:before="0" w:after="0"/>
      <w:ind w:left="0" w:right="0" w:hanging="0"/>
    </w:pPr>
    <w:rPr/>
  </w:style>
  <w:style w:type="paragraph" w:styleId="Style37">
    <w:name w:val="Title"/>
    <w:basedOn w:val="Normal"/>
    <w:next w:val="BodyTextIndent"/>
    <w:qFormat/>
    <w:pPr>
      <w:spacing w:before="0" w:after="170"/>
    </w:pPr>
    <w:rPr>
      <w:b/>
    </w:rPr>
  </w:style>
  <w:style w:type="paragraph" w:styleId="Style38">
    <w:name w:val="Subtitle"/>
    <w:basedOn w:val="Normal"/>
    <w:next w:val="BodyTextIndent"/>
    <w:qFormat/>
    <w:pPr>
      <w:spacing w:before="0" w:after="0"/>
      <w:ind w:left="709" w:right="0" w:hanging="0"/>
      <w:jc w:val="both"/>
    </w:pPr>
    <w:rPr>
      <w:b/>
    </w:rPr>
  </w:style>
  <w:style w:type="paragraph" w:styleId="BodyTextIndent">
    <w:name w:val="Body Text Indent"/>
    <w:basedOn w:val="Normal"/>
    <w:qFormat/>
    <w:pPr>
      <w:ind w:left="0" w:right="0" w:firstLine="709"/>
      <w:jc w:val="both"/>
    </w:pPr>
    <w:rPr/>
  </w:style>
  <w:style w:type="paragraph" w:styleId="Style39">
    <w:name w:val="Обратный отступ"/>
    <w:basedOn w:val="Style32"/>
    <w:qFormat/>
    <w:pPr>
      <w:tabs>
        <w:tab w:val="clear" w:pos="709"/>
        <w:tab w:val="left" w:pos="0" w:leader="none"/>
      </w:tabs>
      <w:ind w:left="0" w:right="0" w:hanging="0"/>
    </w:pPr>
    <w:rPr/>
  </w:style>
  <w:style w:type="paragraph" w:styleId="Style40">
    <w:name w:val="Body Text Indent"/>
    <w:basedOn w:val="Style32"/>
    <w:pPr>
      <w:ind w:left="0" w:right="0" w:hanging="0"/>
    </w:pPr>
    <w:rPr/>
  </w:style>
  <w:style w:type="paragraph" w:styleId="Style41">
    <w:name w:val="Salutation"/>
    <w:basedOn w:val="Normal"/>
    <w:pPr/>
    <w:rPr/>
  </w:style>
  <w:style w:type="paragraph" w:styleId="Style42">
    <w:name w:val="Signature"/>
    <w:basedOn w:val="Normal"/>
    <w:pPr>
      <w:tabs>
        <w:tab w:val="clear" w:pos="709"/>
        <w:tab w:val="right" w:pos="31748" w:leader="none"/>
      </w:tabs>
      <w:ind w:left="0" w:right="0" w:hanging="0"/>
      <w:jc w:val="left"/>
    </w:pPr>
    <w:rPr/>
  </w:style>
  <w:style w:type="paragraph" w:styleId="Style43">
    <w:name w:val="Отступы"/>
    <w:basedOn w:val="Style32"/>
    <w:qFormat/>
    <w:pPr>
      <w:tabs>
        <w:tab w:val="clear" w:pos="709"/>
        <w:tab w:val="left" w:pos="0" w:leader="none"/>
      </w:tabs>
      <w:ind w:left="0" w:right="0" w:hanging="0"/>
    </w:pPr>
    <w:rPr/>
  </w:style>
  <w:style w:type="paragraph" w:styleId="AnnotationText">
    <w:name w:val="Annotation Text"/>
    <w:basedOn w:val="Style32"/>
    <w:qFormat/>
    <w:pPr>
      <w:ind w:left="0" w:right="0" w:hanging="0"/>
    </w:pPr>
    <w:rPr/>
  </w:style>
  <w:style w:type="paragraph" w:styleId="10">
    <w:name w:val="Заголовок 10"/>
    <w:basedOn w:val="Style31"/>
    <w:next w:val="Style32"/>
    <w:qFormat/>
    <w:pPr>
      <w:spacing w:before="0" w:after="0"/>
    </w:pPr>
    <w:rPr/>
  </w:style>
  <w:style w:type="paragraph" w:styleId="11">
    <w:name w:val="Начало нумерованного списка 1"/>
    <w:basedOn w:val="Style33"/>
    <w:next w:val="31"/>
    <w:qFormat/>
    <w:pPr>
      <w:spacing w:before="0" w:after="0"/>
      <w:ind w:left="0" w:right="0" w:hanging="0"/>
    </w:pPr>
    <w:rPr/>
  </w:style>
  <w:style w:type="paragraph" w:styleId="31">
    <w:name w:val="List Bullet 4"/>
    <w:basedOn w:val="Style33"/>
    <w:pPr>
      <w:spacing w:before="0" w:after="0"/>
    </w:pPr>
    <w:rPr/>
  </w:style>
  <w:style w:type="paragraph" w:styleId="12">
    <w:name w:val="Конец нумерованного списка 1"/>
    <w:basedOn w:val="Style33"/>
    <w:next w:val="31"/>
    <w:qFormat/>
    <w:pPr>
      <w:spacing w:before="0" w:after="0"/>
      <w:ind w:left="0" w:right="0" w:hanging="0"/>
    </w:pPr>
    <w:rPr/>
  </w:style>
  <w:style w:type="paragraph" w:styleId="13">
    <w:name w:val="Продолжение нумерованного списка 1"/>
    <w:basedOn w:val="Style33"/>
    <w:qFormat/>
    <w:pPr>
      <w:spacing w:before="0" w:after="0"/>
      <w:ind w:left="0" w:right="0" w:hanging="0"/>
    </w:pPr>
    <w:rPr/>
  </w:style>
  <w:style w:type="paragraph" w:styleId="21">
    <w:name w:val="Начало нумерованного списка 2"/>
    <w:basedOn w:val="Style33"/>
    <w:next w:val="ListNumber2"/>
    <w:qFormat/>
    <w:pPr>
      <w:spacing w:before="0" w:after="0"/>
      <w:ind w:left="0" w:right="0" w:hanging="0"/>
    </w:pPr>
    <w:rPr/>
  </w:style>
  <w:style w:type="paragraph" w:styleId="ListNumber2">
    <w:name w:val="List Number 2"/>
    <w:basedOn w:val="Style33"/>
    <w:qFormat/>
    <w:pPr>
      <w:spacing w:before="0" w:after="0"/>
      <w:ind w:left="0" w:right="0" w:hanging="0"/>
    </w:pPr>
    <w:rPr/>
  </w:style>
  <w:style w:type="paragraph" w:styleId="22">
    <w:name w:val="Конец нумерованного списка 2"/>
    <w:basedOn w:val="Style33"/>
    <w:next w:val="ListNumber2"/>
    <w:qFormat/>
    <w:pPr>
      <w:spacing w:before="0" w:after="0"/>
      <w:ind w:left="0" w:right="0" w:hanging="0"/>
    </w:pPr>
    <w:rPr/>
  </w:style>
  <w:style w:type="paragraph" w:styleId="23">
    <w:name w:val="Продолжение нумерованного списка 2"/>
    <w:basedOn w:val="Style33"/>
    <w:qFormat/>
    <w:pPr>
      <w:spacing w:before="0" w:after="0"/>
      <w:ind w:left="0" w:right="0" w:hanging="0"/>
    </w:pPr>
    <w:rPr/>
  </w:style>
  <w:style w:type="paragraph" w:styleId="32">
    <w:name w:val="Начало нумерованного списка 3"/>
    <w:basedOn w:val="Style33"/>
    <w:next w:val="ListNumber3"/>
    <w:qFormat/>
    <w:pPr>
      <w:spacing w:before="0" w:after="0"/>
      <w:ind w:left="0" w:right="0" w:hanging="0"/>
    </w:pPr>
    <w:rPr/>
  </w:style>
  <w:style w:type="paragraph" w:styleId="ListNumber3">
    <w:name w:val="List Number 3"/>
    <w:basedOn w:val="Style33"/>
    <w:qFormat/>
    <w:pPr>
      <w:spacing w:before="0" w:after="0"/>
      <w:ind w:left="0" w:right="0" w:hanging="0"/>
    </w:pPr>
    <w:rPr/>
  </w:style>
  <w:style w:type="paragraph" w:styleId="33">
    <w:name w:val="Конец нумерованного списка 3"/>
    <w:basedOn w:val="Style33"/>
    <w:next w:val="ListNumber3"/>
    <w:qFormat/>
    <w:pPr>
      <w:spacing w:before="0" w:after="0"/>
      <w:ind w:left="0" w:right="0" w:hanging="0"/>
    </w:pPr>
    <w:rPr/>
  </w:style>
  <w:style w:type="paragraph" w:styleId="34">
    <w:name w:val="Продолжение нумерованного списка 3"/>
    <w:basedOn w:val="Style33"/>
    <w:qFormat/>
    <w:pPr>
      <w:spacing w:before="0" w:after="0"/>
      <w:ind w:left="0" w:right="0" w:hanging="0"/>
    </w:pPr>
    <w:rPr/>
  </w:style>
  <w:style w:type="paragraph" w:styleId="41">
    <w:name w:val="Начало нумерованного списка 4"/>
    <w:basedOn w:val="Style33"/>
    <w:next w:val="ListNumber4"/>
    <w:qFormat/>
    <w:pPr>
      <w:spacing w:before="0" w:after="0"/>
      <w:ind w:left="0" w:right="0" w:hanging="0"/>
    </w:pPr>
    <w:rPr/>
  </w:style>
  <w:style w:type="paragraph" w:styleId="ListNumber4">
    <w:name w:val="List Number 4"/>
    <w:basedOn w:val="Style33"/>
    <w:qFormat/>
    <w:pPr>
      <w:spacing w:before="0" w:after="0"/>
      <w:ind w:left="0" w:right="0" w:hanging="0"/>
    </w:pPr>
    <w:rPr/>
  </w:style>
  <w:style w:type="paragraph" w:styleId="42">
    <w:name w:val="Конец нумерованного списка 4"/>
    <w:basedOn w:val="Style33"/>
    <w:next w:val="ListNumber4"/>
    <w:qFormat/>
    <w:pPr>
      <w:spacing w:before="0" w:after="0"/>
      <w:ind w:left="0" w:right="0" w:hanging="0"/>
    </w:pPr>
    <w:rPr/>
  </w:style>
  <w:style w:type="paragraph" w:styleId="43">
    <w:name w:val="Продолжение нумерованного списка 4"/>
    <w:basedOn w:val="Style33"/>
    <w:qFormat/>
    <w:pPr>
      <w:spacing w:before="0" w:after="0"/>
      <w:ind w:left="0" w:right="0" w:hanging="0"/>
    </w:pPr>
    <w:rPr/>
  </w:style>
  <w:style w:type="paragraph" w:styleId="51">
    <w:name w:val="Начало нумерованного списка 5"/>
    <w:basedOn w:val="Style33"/>
    <w:next w:val="ListNumber5"/>
    <w:qFormat/>
    <w:pPr>
      <w:spacing w:before="0" w:after="0"/>
      <w:ind w:left="0" w:right="0" w:hanging="0"/>
    </w:pPr>
    <w:rPr/>
  </w:style>
  <w:style w:type="paragraph" w:styleId="ListNumber5">
    <w:name w:val="List Number 5"/>
    <w:basedOn w:val="Style33"/>
    <w:qFormat/>
    <w:pPr>
      <w:spacing w:before="0" w:after="0"/>
      <w:ind w:left="0" w:right="0" w:hanging="0"/>
    </w:pPr>
    <w:rPr/>
  </w:style>
  <w:style w:type="paragraph" w:styleId="52">
    <w:name w:val="Конец нумерованного списка 5"/>
    <w:basedOn w:val="Style33"/>
    <w:next w:val="ListNumber5"/>
    <w:qFormat/>
    <w:pPr>
      <w:spacing w:before="0" w:after="0"/>
      <w:ind w:left="0" w:right="0" w:hanging="0"/>
    </w:pPr>
    <w:rPr/>
  </w:style>
  <w:style w:type="paragraph" w:styleId="53">
    <w:name w:val="Продолжение нумерованного списка 5"/>
    <w:basedOn w:val="Style33"/>
    <w:qFormat/>
    <w:pPr>
      <w:spacing w:before="0" w:after="0"/>
      <w:ind w:left="0" w:right="0" w:hanging="0"/>
    </w:pPr>
    <w:rPr/>
  </w:style>
  <w:style w:type="paragraph" w:styleId="14">
    <w:name w:val="Начало маркированного списка 1"/>
    <w:basedOn w:val="Style33"/>
    <w:next w:val="24"/>
    <w:qFormat/>
    <w:pPr>
      <w:spacing w:before="0" w:after="0"/>
      <w:ind w:left="0" w:right="0" w:hanging="0"/>
    </w:pPr>
    <w:rPr/>
  </w:style>
  <w:style w:type="paragraph" w:styleId="24">
    <w:name w:val="List Bullet 3"/>
    <w:basedOn w:val="Style33"/>
    <w:pPr>
      <w:spacing w:before="0" w:after="0"/>
    </w:pPr>
    <w:rPr/>
  </w:style>
  <w:style w:type="paragraph" w:styleId="15">
    <w:name w:val="Конец маркированного списка 1"/>
    <w:basedOn w:val="Style33"/>
    <w:next w:val="24"/>
    <w:qFormat/>
    <w:pPr>
      <w:spacing w:before="0" w:after="0"/>
      <w:ind w:left="0" w:right="0" w:hanging="0"/>
    </w:pPr>
    <w:rPr/>
  </w:style>
  <w:style w:type="paragraph" w:styleId="ListContinue">
    <w:name w:val="List Continue"/>
    <w:basedOn w:val="Style33"/>
    <w:qFormat/>
    <w:pPr>
      <w:spacing w:before="0" w:after="0"/>
      <w:ind w:left="0" w:right="0" w:hanging="0"/>
    </w:pPr>
    <w:rPr/>
  </w:style>
  <w:style w:type="paragraph" w:styleId="25">
    <w:name w:val="Начало маркированного списка 2"/>
    <w:basedOn w:val="Style33"/>
    <w:next w:val="ListBullet3"/>
    <w:qFormat/>
    <w:pPr>
      <w:spacing w:before="0" w:after="0"/>
      <w:ind w:left="0" w:right="0" w:hanging="0"/>
    </w:pPr>
    <w:rPr/>
  </w:style>
  <w:style w:type="paragraph" w:styleId="ListBullet3">
    <w:name w:val="List Bullet 3"/>
    <w:basedOn w:val="Style33"/>
    <w:qFormat/>
    <w:pPr>
      <w:spacing w:before="0" w:after="0"/>
      <w:ind w:left="0" w:right="0" w:hanging="0"/>
    </w:pPr>
    <w:rPr/>
  </w:style>
  <w:style w:type="paragraph" w:styleId="26">
    <w:name w:val="Конец маркированного списка 2"/>
    <w:basedOn w:val="Style33"/>
    <w:next w:val="ListBullet3"/>
    <w:qFormat/>
    <w:pPr>
      <w:spacing w:before="0" w:after="0"/>
      <w:ind w:left="0" w:right="0" w:hanging="0"/>
    </w:pPr>
    <w:rPr/>
  </w:style>
  <w:style w:type="paragraph" w:styleId="ListContinue2">
    <w:name w:val="List Continue 2"/>
    <w:basedOn w:val="Style33"/>
    <w:qFormat/>
    <w:pPr>
      <w:spacing w:before="0" w:after="0"/>
      <w:ind w:left="0" w:right="0" w:hanging="0"/>
    </w:pPr>
    <w:rPr/>
  </w:style>
  <w:style w:type="paragraph" w:styleId="35">
    <w:name w:val="Начало маркированного списка 3"/>
    <w:basedOn w:val="Style33"/>
    <w:next w:val="ListBullet4"/>
    <w:qFormat/>
    <w:pPr>
      <w:spacing w:before="0" w:after="0"/>
      <w:ind w:left="0" w:right="0" w:hanging="0"/>
    </w:pPr>
    <w:rPr/>
  </w:style>
  <w:style w:type="paragraph" w:styleId="ListBullet4">
    <w:name w:val="List Bullet 4"/>
    <w:basedOn w:val="Style33"/>
    <w:qFormat/>
    <w:pPr>
      <w:spacing w:before="0" w:after="0"/>
      <w:ind w:left="0" w:right="0" w:hanging="0"/>
    </w:pPr>
    <w:rPr/>
  </w:style>
  <w:style w:type="paragraph" w:styleId="36">
    <w:name w:val="Конец маркированного списка 3"/>
    <w:basedOn w:val="Style33"/>
    <w:next w:val="ListBullet4"/>
    <w:qFormat/>
    <w:pPr>
      <w:spacing w:before="0" w:after="0"/>
      <w:ind w:left="0" w:right="0" w:hanging="0"/>
    </w:pPr>
    <w:rPr/>
  </w:style>
  <w:style w:type="paragraph" w:styleId="ListContinue3">
    <w:name w:val="List Continue 3"/>
    <w:basedOn w:val="Style33"/>
    <w:qFormat/>
    <w:pPr>
      <w:spacing w:before="0" w:after="0"/>
      <w:ind w:left="0" w:right="0" w:hanging="0"/>
    </w:pPr>
    <w:rPr/>
  </w:style>
  <w:style w:type="paragraph" w:styleId="44">
    <w:name w:val="Начало маркированного списка 4"/>
    <w:basedOn w:val="Style33"/>
    <w:next w:val="ListBullet5"/>
    <w:qFormat/>
    <w:pPr>
      <w:spacing w:before="0" w:after="0"/>
      <w:ind w:left="0" w:right="0" w:hanging="0"/>
    </w:pPr>
    <w:rPr/>
  </w:style>
  <w:style w:type="paragraph" w:styleId="ListBullet5">
    <w:name w:val="List Bullet 5"/>
    <w:basedOn w:val="Style33"/>
    <w:qFormat/>
    <w:pPr>
      <w:spacing w:before="0" w:after="0"/>
      <w:ind w:left="0" w:right="0" w:hanging="0"/>
    </w:pPr>
    <w:rPr/>
  </w:style>
  <w:style w:type="paragraph" w:styleId="45">
    <w:name w:val="Конец маркированного списка 4"/>
    <w:basedOn w:val="Style33"/>
    <w:next w:val="ListBullet5"/>
    <w:qFormat/>
    <w:pPr>
      <w:spacing w:before="0" w:after="0"/>
      <w:ind w:left="0" w:right="0" w:hanging="0"/>
    </w:pPr>
    <w:rPr/>
  </w:style>
  <w:style w:type="paragraph" w:styleId="ListContinue4">
    <w:name w:val="List Continue 4"/>
    <w:basedOn w:val="Style33"/>
    <w:qFormat/>
    <w:pPr>
      <w:spacing w:before="0" w:after="0"/>
      <w:ind w:left="0" w:right="0" w:hanging="0"/>
    </w:pPr>
    <w:rPr/>
  </w:style>
  <w:style w:type="paragraph" w:styleId="54">
    <w:name w:val="Начало маркированного списка 5"/>
    <w:basedOn w:val="Style33"/>
    <w:next w:val="ListNumber"/>
    <w:qFormat/>
    <w:pPr>
      <w:spacing w:before="0" w:after="0"/>
      <w:ind w:left="0" w:right="0" w:hanging="0"/>
    </w:pPr>
    <w:rPr/>
  </w:style>
  <w:style w:type="paragraph" w:styleId="ListNumber">
    <w:name w:val="List Number"/>
    <w:basedOn w:val="Style33"/>
    <w:qFormat/>
    <w:pPr>
      <w:spacing w:before="0" w:after="0"/>
      <w:ind w:left="0" w:right="0" w:hanging="0"/>
    </w:pPr>
    <w:rPr/>
  </w:style>
  <w:style w:type="paragraph" w:styleId="55">
    <w:name w:val="Конец маркированного списка 5"/>
    <w:basedOn w:val="Style33"/>
    <w:next w:val="ListNumber"/>
    <w:qFormat/>
    <w:pPr>
      <w:spacing w:before="0" w:after="0"/>
      <w:ind w:left="0" w:right="0" w:hanging="0"/>
    </w:pPr>
    <w:rPr/>
  </w:style>
  <w:style w:type="paragraph" w:styleId="ListContinue5">
    <w:name w:val="List Continue 5"/>
    <w:basedOn w:val="Style33"/>
    <w:qFormat/>
    <w:pPr>
      <w:spacing w:before="0" w:after="0"/>
      <w:ind w:left="0" w:right="0" w:hanging="0"/>
    </w:pPr>
    <w:rPr/>
  </w:style>
  <w:style w:type="paragraph" w:styleId="Style44">
    <w:name w:val="Index Heading"/>
    <w:basedOn w:val="Style31"/>
    <w:pPr>
      <w:ind w:left="0" w:right="0" w:hanging="0"/>
    </w:pPr>
    <w:rPr/>
  </w:style>
  <w:style w:type="paragraph" w:styleId="16">
    <w:name w:val="Index 1"/>
    <w:basedOn w:val="Style35"/>
    <w:pPr>
      <w:ind w:left="0" w:right="0" w:hanging="0"/>
    </w:pPr>
    <w:rPr/>
  </w:style>
  <w:style w:type="paragraph" w:styleId="27">
    <w:name w:val="Index 2"/>
    <w:basedOn w:val="Style35"/>
    <w:pPr>
      <w:ind w:left="0" w:right="0" w:hanging="0"/>
    </w:pPr>
    <w:rPr/>
  </w:style>
  <w:style w:type="paragraph" w:styleId="37">
    <w:name w:val="Index 3"/>
    <w:basedOn w:val="Style35"/>
    <w:pPr>
      <w:ind w:left="0" w:right="0" w:hanging="0"/>
    </w:pPr>
    <w:rPr/>
  </w:style>
  <w:style w:type="paragraph" w:styleId="Style45">
    <w:name w:val="Разделитель предметного указателя"/>
    <w:basedOn w:val="Style35"/>
    <w:qFormat/>
    <w:pPr>
      <w:ind w:left="0" w:right="0" w:hanging="0"/>
    </w:pPr>
    <w:rPr/>
  </w:style>
  <w:style w:type="paragraph" w:styleId="TOAHeading">
    <w:name w:val="TOA Heading"/>
    <w:basedOn w:val="Style31"/>
    <w:next w:val="17"/>
    <w:qFormat/>
    <w:pPr>
      <w:ind w:left="0" w:right="0" w:hanging="0"/>
    </w:pPr>
    <w:rPr/>
  </w:style>
  <w:style w:type="paragraph" w:styleId="17">
    <w:name w:val="TOC 1"/>
    <w:basedOn w:val="Style35"/>
    <w:pPr>
      <w:tabs>
        <w:tab w:val="clear" w:pos="709"/>
        <w:tab w:val="right" w:pos="9638" w:leader="dot"/>
      </w:tabs>
      <w:ind w:left="0" w:right="0" w:hanging="0"/>
    </w:pPr>
    <w:rPr/>
  </w:style>
  <w:style w:type="paragraph" w:styleId="28">
    <w:name w:val="TOC 2"/>
    <w:basedOn w:val="Style35"/>
    <w:pPr>
      <w:tabs>
        <w:tab w:val="clear" w:pos="709"/>
        <w:tab w:val="right" w:pos="9355" w:leader="dot"/>
      </w:tabs>
      <w:ind w:left="0" w:right="0" w:hanging="0"/>
    </w:pPr>
    <w:rPr/>
  </w:style>
  <w:style w:type="paragraph" w:styleId="38">
    <w:name w:val="TOC 3"/>
    <w:basedOn w:val="Style35"/>
    <w:pPr>
      <w:tabs>
        <w:tab w:val="clear" w:pos="709"/>
        <w:tab w:val="right" w:pos="9072" w:leader="dot"/>
      </w:tabs>
      <w:ind w:left="0" w:right="0" w:hanging="0"/>
    </w:pPr>
    <w:rPr/>
  </w:style>
  <w:style w:type="paragraph" w:styleId="46">
    <w:name w:val="TOC 4"/>
    <w:basedOn w:val="Style35"/>
    <w:pPr>
      <w:tabs>
        <w:tab w:val="clear" w:pos="709"/>
        <w:tab w:val="right" w:pos="8789" w:leader="dot"/>
      </w:tabs>
      <w:ind w:left="0" w:right="0" w:hanging="0"/>
    </w:pPr>
    <w:rPr/>
  </w:style>
  <w:style w:type="paragraph" w:styleId="56">
    <w:name w:val="TOC 5"/>
    <w:basedOn w:val="Style35"/>
    <w:pPr>
      <w:tabs>
        <w:tab w:val="clear" w:pos="709"/>
        <w:tab w:val="right" w:pos="8506" w:leader="dot"/>
      </w:tabs>
      <w:ind w:left="0" w:right="0" w:hanging="0"/>
    </w:pPr>
    <w:rPr/>
  </w:style>
  <w:style w:type="paragraph" w:styleId="Style46">
    <w:name w:val="Заголовок указателей пользователя"/>
    <w:basedOn w:val="Style31"/>
    <w:qFormat/>
    <w:pPr/>
    <w:rPr/>
  </w:style>
  <w:style w:type="paragraph" w:styleId="18">
    <w:name w:val="Указатель пользователя 1"/>
    <w:basedOn w:val="Style35"/>
    <w:qFormat/>
    <w:pPr>
      <w:tabs>
        <w:tab w:val="clear" w:pos="709"/>
        <w:tab w:val="right" w:pos="9638" w:leader="dot"/>
      </w:tabs>
      <w:ind w:left="0" w:right="0" w:hanging="0"/>
    </w:pPr>
    <w:rPr/>
  </w:style>
  <w:style w:type="paragraph" w:styleId="29">
    <w:name w:val="Указатель пользователя 2"/>
    <w:basedOn w:val="Style35"/>
    <w:qFormat/>
    <w:pPr>
      <w:tabs>
        <w:tab w:val="clear" w:pos="709"/>
        <w:tab w:val="right" w:pos="9355" w:leader="dot"/>
      </w:tabs>
      <w:ind w:left="0" w:right="0" w:hanging="0"/>
    </w:pPr>
    <w:rPr/>
  </w:style>
  <w:style w:type="paragraph" w:styleId="39">
    <w:name w:val="Указатель пользователя 3"/>
    <w:basedOn w:val="Style35"/>
    <w:qFormat/>
    <w:pPr>
      <w:tabs>
        <w:tab w:val="clear" w:pos="709"/>
        <w:tab w:val="right" w:pos="9072" w:leader="dot"/>
      </w:tabs>
      <w:ind w:left="0" w:right="0" w:hanging="0"/>
    </w:pPr>
    <w:rPr/>
  </w:style>
  <w:style w:type="paragraph" w:styleId="47">
    <w:name w:val="Указатель пользователя 4"/>
    <w:basedOn w:val="Style35"/>
    <w:qFormat/>
    <w:pPr>
      <w:tabs>
        <w:tab w:val="clear" w:pos="709"/>
        <w:tab w:val="right" w:pos="8789" w:leader="dot"/>
      </w:tabs>
      <w:ind w:left="0" w:right="0" w:hanging="0"/>
    </w:pPr>
    <w:rPr/>
  </w:style>
  <w:style w:type="paragraph" w:styleId="57">
    <w:name w:val="Указатель пользователя 5"/>
    <w:basedOn w:val="Style35"/>
    <w:qFormat/>
    <w:pPr>
      <w:tabs>
        <w:tab w:val="clear" w:pos="709"/>
        <w:tab w:val="right" w:pos="8506" w:leader="dot"/>
      </w:tabs>
      <w:ind w:left="0" w:right="0" w:hanging="0"/>
    </w:pPr>
    <w:rPr/>
  </w:style>
  <w:style w:type="paragraph" w:styleId="61">
    <w:name w:val="TOC 6"/>
    <w:basedOn w:val="Style35"/>
    <w:pPr>
      <w:tabs>
        <w:tab w:val="clear" w:pos="709"/>
        <w:tab w:val="right" w:pos="8223" w:leader="dot"/>
      </w:tabs>
      <w:ind w:left="0" w:right="0" w:hanging="0"/>
    </w:pPr>
    <w:rPr/>
  </w:style>
  <w:style w:type="paragraph" w:styleId="71">
    <w:name w:val="TOC 7"/>
    <w:basedOn w:val="Style35"/>
    <w:pPr>
      <w:tabs>
        <w:tab w:val="clear" w:pos="709"/>
        <w:tab w:val="right" w:pos="7940" w:leader="dot"/>
      </w:tabs>
      <w:ind w:left="0" w:right="0" w:hanging="0"/>
    </w:pPr>
    <w:rPr/>
  </w:style>
  <w:style w:type="paragraph" w:styleId="81">
    <w:name w:val="TOC 8"/>
    <w:basedOn w:val="Style35"/>
    <w:pPr>
      <w:tabs>
        <w:tab w:val="clear" w:pos="709"/>
        <w:tab w:val="right" w:pos="7657" w:leader="dot"/>
      </w:tabs>
      <w:ind w:left="0" w:right="0" w:hanging="0"/>
    </w:pPr>
    <w:rPr/>
  </w:style>
  <w:style w:type="paragraph" w:styleId="91">
    <w:name w:val="TOC 9"/>
    <w:basedOn w:val="Style35"/>
    <w:pPr>
      <w:tabs>
        <w:tab w:val="clear" w:pos="709"/>
        <w:tab w:val="right" w:pos="7374" w:leader="dot"/>
      </w:tabs>
      <w:ind w:left="0" w:right="0" w:hanging="0"/>
    </w:pPr>
    <w:rPr/>
  </w:style>
  <w:style w:type="paragraph" w:styleId="101">
    <w:name w:val="Оглавление 10"/>
    <w:basedOn w:val="Style35"/>
    <w:qFormat/>
    <w:pPr>
      <w:tabs>
        <w:tab w:val="clear" w:pos="709"/>
        <w:tab w:val="right" w:pos="7091" w:leader="dot"/>
      </w:tabs>
      <w:ind w:left="0" w:right="0" w:hanging="0"/>
    </w:pPr>
    <w:rPr/>
  </w:style>
  <w:style w:type="paragraph" w:styleId="IllustrationIndex1">
    <w:name w:val="Illustration Index 1"/>
    <w:basedOn w:val="Style35"/>
    <w:qFormat/>
    <w:pPr>
      <w:tabs>
        <w:tab w:val="clear" w:pos="709"/>
        <w:tab w:val="right" w:pos="9638" w:leader="dot"/>
      </w:tabs>
      <w:ind w:left="0" w:right="0" w:hanging="0"/>
    </w:pPr>
    <w:rPr/>
  </w:style>
  <w:style w:type="paragraph" w:styleId="Style47">
    <w:name w:val="Заголовок списка объектов"/>
    <w:basedOn w:val="Style31"/>
    <w:qFormat/>
    <w:pPr>
      <w:ind w:left="0" w:right="0" w:hanging="0"/>
    </w:pPr>
    <w:rPr/>
  </w:style>
  <w:style w:type="paragraph" w:styleId="19">
    <w:name w:val="Список объектов 1"/>
    <w:basedOn w:val="Style35"/>
    <w:qFormat/>
    <w:pPr>
      <w:tabs>
        <w:tab w:val="clear" w:pos="709"/>
        <w:tab w:val="right" w:pos="9638" w:leader="dot"/>
      </w:tabs>
      <w:ind w:left="0" w:right="0" w:hanging="0"/>
    </w:pPr>
    <w:rPr/>
  </w:style>
  <w:style w:type="paragraph" w:styleId="Style48">
    <w:name w:val="Заголовок списка таблиц"/>
    <w:basedOn w:val="Style31"/>
    <w:qFormat/>
    <w:pPr>
      <w:ind w:left="0" w:right="0" w:hanging="0"/>
    </w:pPr>
    <w:rPr/>
  </w:style>
  <w:style w:type="paragraph" w:styleId="110">
    <w:name w:val="Список таблиц 1"/>
    <w:basedOn w:val="Style35"/>
    <w:qFormat/>
    <w:pPr>
      <w:tabs>
        <w:tab w:val="clear" w:pos="709"/>
        <w:tab w:val="right" w:pos="9638" w:leader="dot"/>
      </w:tabs>
      <w:ind w:left="0" w:right="0" w:hanging="0"/>
    </w:pPr>
    <w:rPr/>
  </w:style>
  <w:style w:type="paragraph" w:styleId="TableofAuthorities">
    <w:name w:val="Table of Authorities"/>
    <w:basedOn w:val="Style31"/>
    <w:qFormat/>
    <w:pPr>
      <w:ind w:left="0" w:right="0" w:hanging="0"/>
    </w:pPr>
    <w:rPr/>
  </w:style>
  <w:style w:type="paragraph" w:styleId="111">
    <w:name w:val="Библиография 1"/>
    <w:basedOn w:val="Style35"/>
    <w:qFormat/>
    <w:pPr>
      <w:tabs>
        <w:tab w:val="clear" w:pos="709"/>
        <w:tab w:val="right" w:pos="9638" w:leader="dot"/>
      </w:tabs>
      <w:ind w:left="0" w:right="0" w:hanging="0"/>
    </w:pPr>
    <w:rPr/>
  </w:style>
  <w:style w:type="paragraph" w:styleId="62">
    <w:name w:val="Указатель пользователя 6"/>
    <w:basedOn w:val="Style35"/>
    <w:qFormat/>
    <w:pPr>
      <w:tabs>
        <w:tab w:val="clear" w:pos="709"/>
        <w:tab w:val="right" w:pos="8223" w:leader="dot"/>
      </w:tabs>
      <w:ind w:left="0" w:right="0" w:hanging="0"/>
    </w:pPr>
    <w:rPr/>
  </w:style>
  <w:style w:type="paragraph" w:styleId="72">
    <w:name w:val="Указатель пользователя 7"/>
    <w:basedOn w:val="Style35"/>
    <w:qFormat/>
    <w:pPr>
      <w:tabs>
        <w:tab w:val="clear" w:pos="709"/>
        <w:tab w:val="right" w:pos="7940" w:leader="dot"/>
      </w:tabs>
      <w:ind w:left="0" w:right="0" w:hanging="0"/>
    </w:pPr>
    <w:rPr/>
  </w:style>
  <w:style w:type="paragraph" w:styleId="82">
    <w:name w:val="Указатель пользователя 8"/>
    <w:basedOn w:val="Style35"/>
    <w:qFormat/>
    <w:pPr>
      <w:tabs>
        <w:tab w:val="clear" w:pos="709"/>
        <w:tab w:val="right" w:pos="7657" w:leader="dot"/>
      </w:tabs>
      <w:ind w:left="0" w:right="0" w:hanging="0"/>
    </w:pPr>
    <w:rPr/>
  </w:style>
  <w:style w:type="paragraph" w:styleId="92">
    <w:name w:val="Указатель пользователя 9"/>
    <w:basedOn w:val="Style35"/>
    <w:qFormat/>
    <w:pPr>
      <w:tabs>
        <w:tab w:val="clear" w:pos="709"/>
        <w:tab w:val="right" w:pos="7374" w:leader="dot"/>
      </w:tabs>
      <w:ind w:left="0" w:right="0" w:hanging="0"/>
    </w:pPr>
    <w:rPr/>
  </w:style>
  <w:style w:type="paragraph" w:styleId="102">
    <w:name w:val="Указатель пользователя 10"/>
    <w:basedOn w:val="Style35"/>
    <w:qFormat/>
    <w:pPr>
      <w:tabs>
        <w:tab w:val="clear" w:pos="709"/>
        <w:tab w:val="right" w:pos="7091" w:leader="dot"/>
      </w:tabs>
      <w:ind w:left="0" w:right="0" w:hanging="0"/>
    </w:pPr>
    <w:rPr/>
  </w:style>
  <w:style w:type="paragraph" w:styleId="Style49">
    <w:name w:val="Верхний и нижний колонтитулы"/>
    <w:basedOn w:val="Normal"/>
    <w:qFormat/>
    <w:pPr>
      <w:suppressLineNumbers/>
      <w:tabs>
        <w:tab w:val="clear" w:pos="709"/>
        <w:tab w:val="center" w:pos="4819" w:leader="none"/>
        <w:tab w:val="right" w:pos="9638" w:leader="none"/>
      </w:tabs>
    </w:pPr>
    <w:rPr/>
  </w:style>
  <w:style w:type="paragraph" w:styleId="Style50">
    <w:name w:val="Header"/>
    <w:basedOn w:val="Normal"/>
    <w:pPr>
      <w:tabs>
        <w:tab w:val="clear" w:pos="709"/>
        <w:tab w:val="center" w:pos="4819" w:leader="none"/>
        <w:tab w:val="right" w:pos="9638" w:leader="none"/>
      </w:tabs>
      <w:jc w:val="center"/>
    </w:pPr>
    <w:rPr/>
  </w:style>
  <w:style w:type="paragraph" w:styleId="Style51">
    <w:name w:val="Верхний колонтитул слева"/>
    <w:basedOn w:val="Normal"/>
    <w:qFormat/>
    <w:pPr>
      <w:tabs>
        <w:tab w:val="clear" w:pos="709"/>
        <w:tab w:val="center" w:pos="4819" w:leader="none"/>
        <w:tab w:val="right" w:pos="9638" w:leader="none"/>
      </w:tabs>
      <w:jc w:val="left"/>
    </w:pPr>
    <w:rPr/>
  </w:style>
  <w:style w:type="paragraph" w:styleId="Style52">
    <w:name w:val="Верхний колонтитул справа"/>
    <w:basedOn w:val="Normal"/>
    <w:qFormat/>
    <w:pPr>
      <w:tabs>
        <w:tab w:val="clear" w:pos="709"/>
        <w:tab w:val="center" w:pos="4819" w:leader="none"/>
        <w:tab w:val="right" w:pos="9638" w:leader="none"/>
      </w:tabs>
      <w:jc w:val="right"/>
    </w:pPr>
    <w:rPr/>
  </w:style>
  <w:style w:type="paragraph" w:styleId="Style53">
    <w:name w:val="Footer"/>
    <w:basedOn w:val="Normal"/>
    <w:pPr>
      <w:tabs>
        <w:tab w:val="clear" w:pos="709"/>
        <w:tab w:val="center" w:pos="4819" w:leader="none"/>
        <w:tab w:val="right" w:pos="9638" w:leader="none"/>
      </w:tabs>
      <w:jc w:val="center"/>
    </w:pPr>
    <w:rPr/>
  </w:style>
  <w:style w:type="paragraph" w:styleId="Style54">
    <w:name w:val="Нижний колонтитул слева"/>
    <w:basedOn w:val="Normal"/>
    <w:qFormat/>
    <w:pPr>
      <w:tabs>
        <w:tab w:val="clear" w:pos="709"/>
        <w:tab w:val="center" w:pos="4819" w:leader="none"/>
        <w:tab w:val="right" w:pos="9638" w:leader="none"/>
      </w:tabs>
      <w:jc w:val="left"/>
    </w:pPr>
    <w:rPr/>
  </w:style>
  <w:style w:type="paragraph" w:styleId="Style55">
    <w:name w:val="Нижний колонтитул справа"/>
    <w:basedOn w:val="Normal"/>
    <w:qFormat/>
    <w:pPr>
      <w:tabs>
        <w:tab w:val="clear" w:pos="709"/>
        <w:tab w:val="center" w:pos="4819" w:leader="none"/>
        <w:tab w:val="right" w:pos="9638" w:leader="none"/>
      </w:tabs>
      <w:jc w:val="right"/>
    </w:pPr>
    <w:rPr/>
  </w:style>
  <w:style w:type="paragraph" w:styleId="Style56">
    <w:name w:val="Содержимое таблицы"/>
    <w:basedOn w:val="Normal"/>
    <w:qFormat/>
    <w:pPr/>
    <w:rPr/>
  </w:style>
  <w:style w:type="paragraph" w:styleId="Style57">
    <w:name w:val="Заголовок таблицы"/>
    <w:basedOn w:val="Style56"/>
    <w:qFormat/>
    <w:pPr>
      <w:jc w:val="center"/>
    </w:pPr>
    <w:rPr>
      <w:b/>
    </w:rPr>
  </w:style>
  <w:style w:type="paragraph" w:styleId="Style58">
    <w:name w:val="Иллюстрация"/>
    <w:basedOn w:val="Style34"/>
    <w:qFormat/>
    <w:pPr/>
    <w:rPr/>
  </w:style>
  <w:style w:type="paragraph" w:styleId="Style59">
    <w:name w:val="Таблица"/>
    <w:basedOn w:val="Style34"/>
    <w:qFormat/>
    <w:pPr/>
    <w:rPr/>
  </w:style>
  <w:style w:type="paragraph" w:styleId="Style60">
    <w:name w:val="Текст"/>
    <w:basedOn w:val="Style34"/>
    <w:qFormat/>
    <w:pPr/>
    <w:rPr/>
  </w:style>
  <w:style w:type="paragraph" w:styleId="Style61">
    <w:name w:val="Содержимое врезки"/>
    <w:basedOn w:val="Normal"/>
    <w:qFormat/>
    <w:pPr/>
    <w:rPr/>
  </w:style>
  <w:style w:type="paragraph" w:styleId="Style62">
    <w:name w:val="Footnote Text"/>
    <w:basedOn w:val="Normal"/>
    <w:pPr>
      <w:ind w:left="0" w:right="0" w:hanging="0"/>
      <w:jc w:val="left"/>
    </w:pPr>
    <w:rPr>
      <w:sz w:val="28"/>
      <w:szCs w:val="24"/>
    </w:rPr>
  </w:style>
  <w:style w:type="paragraph" w:styleId="Style63">
    <w:name w:val="Envelope Address"/>
    <w:basedOn w:val="Normal"/>
    <w:pPr>
      <w:spacing w:before="0" w:after="0"/>
    </w:pPr>
    <w:rPr/>
  </w:style>
  <w:style w:type="paragraph" w:styleId="Style64">
    <w:name w:val="Envelope Return"/>
    <w:basedOn w:val="Normal"/>
    <w:pPr>
      <w:spacing w:before="0" w:after="0"/>
    </w:pPr>
    <w:rPr/>
  </w:style>
  <w:style w:type="paragraph" w:styleId="Style65">
    <w:name w:val="Endnote Text"/>
    <w:basedOn w:val="Normal"/>
    <w:pPr>
      <w:ind w:left="0" w:right="0" w:hanging="0"/>
    </w:pPr>
    <w:rPr>
      <w:sz w:val="28"/>
      <w:szCs w:val="24"/>
    </w:rPr>
  </w:style>
  <w:style w:type="paragraph" w:styleId="TableofFigures">
    <w:name w:val="Table of Figures"/>
    <w:basedOn w:val="Style34"/>
    <w:qFormat/>
    <w:pPr/>
    <w:rPr/>
  </w:style>
  <w:style w:type="paragraph" w:styleId="Style66">
    <w:name w:val="Текст в заданном формате"/>
    <w:basedOn w:val="Normal"/>
    <w:qFormat/>
    <w:pPr>
      <w:spacing w:before="0" w:after="0"/>
    </w:pPr>
    <w:rPr>
      <w:rFonts w:ascii="PT Astra Serif" w:hAnsi="PT Astra Serif" w:eastAsia="Source Han Sans CN Regular" w:cs="Lohit Devanagari"/>
      <w:sz w:val="28"/>
      <w:szCs w:val="24"/>
    </w:rPr>
  </w:style>
  <w:style w:type="paragraph" w:styleId="Style67">
    <w:name w:val="Горизонтальная линия"/>
    <w:basedOn w:val="Normal"/>
    <w:next w:val="Style32"/>
    <w:qFormat/>
    <w:pPr>
      <w:pBdr>
        <w:bottom w:val="single" w:sz="8" w:space="0" w:color="000000"/>
      </w:pBdr>
      <w:spacing w:before="0" w:after="0"/>
    </w:pPr>
    <w:rPr>
      <w:sz w:val="4"/>
      <w:szCs w:val="24"/>
    </w:rPr>
  </w:style>
  <w:style w:type="paragraph" w:styleId="Style68">
    <w:name w:val="Содержимое списка"/>
    <w:basedOn w:val="Normal"/>
    <w:qFormat/>
    <w:pPr>
      <w:ind w:left="0" w:right="0" w:hanging="0"/>
    </w:pPr>
    <w:rPr/>
  </w:style>
  <w:style w:type="paragraph" w:styleId="Style69">
    <w:name w:val="Заголовок списка"/>
    <w:basedOn w:val="Normal"/>
    <w:next w:val="Style68"/>
    <w:qFormat/>
    <w:pPr>
      <w:ind w:left="0" w:right="0" w:hanging="0"/>
    </w:pPr>
    <w:rPr/>
  </w:style>
  <w:style w:type="paragraph" w:styleId="Style70">
    <w:name w:val="Гриф_Экземпляр"/>
    <w:basedOn w:val="Normal"/>
    <w:qFormat/>
    <w:pPr>
      <w:ind w:left="0" w:right="0" w:hanging="0"/>
    </w:pPr>
    <w:rPr>
      <w:sz w:val="24"/>
    </w:rPr>
  </w:style>
  <w:style w:type="paragraph" w:styleId="Style71">
    <w:name w:val="Исполнитель документа"/>
    <w:basedOn w:val="Normal"/>
    <w:qFormat/>
    <w:pPr>
      <w:jc w:val="left"/>
    </w:pPr>
    <w:rPr>
      <w:sz w:val="24"/>
    </w:rPr>
  </w:style>
  <w:style w:type="paragraph" w:styleId="Style72">
    <w:name w:val="Заголовок списка иллюстраций"/>
    <w:basedOn w:val="Style31"/>
    <w:qFormat/>
    <w:pPr>
      <w:suppressLineNumbers/>
      <w:ind w:left="0" w:right="0" w:hanging="0"/>
      <w:jc w:val="center"/>
    </w:pPr>
    <w:rPr/>
  </w:style>
  <w:style w:type="numbering" w:styleId="123">
    <w:name w:val="Нумерованный 123"/>
    <w:qFormat/>
  </w:style>
  <w:style w:type="numbering" w:styleId="ABC">
    <w:name w:val="Нумерованный ABC"/>
    <w:qFormat/>
  </w:style>
  <w:style w:type="numbering" w:styleId="Abc1">
    <w:name w:val="Нумерованный abc"/>
    <w:qFormat/>
  </w:style>
  <w:style w:type="numbering" w:styleId="IVX">
    <w:name w:val="Нумерованный IVX"/>
    <w:qFormat/>
  </w:style>
  <w:style w:type="numbering" w:styleId="Ivx1">
    <w:name w:val="Нумерованный ivx"/>
    <w:qFormat/>
  </w:style>
  <w:style w:type="numbering" w:styleId="Style73">
    <w:name w:val="Маркер •"/>
    <w:qFormat/>
  </w:style>
  <w:style w:type="numbering" w:styleId="Style74">
    <w:name w:val="Маркер –"/>
    <w:qFormat/>
  </w:style>
  <w:style w:type="numbering" w:styleId="Style75">
    <w:name w:val="Маркер "/>
    <w:qFormat/>
  </w:style>
  <w:style w:type="numbering" w:styleId="Style76">
    <w:name w:val="Маркер "/>
    <w:qFormat/>
  </w:style>
  <w:style w:type="numbering" w:styleId="Style77">
    <w:name w:val="Маркер "/>
    <w:qFormat/>
  </w:style>
  <w:style w:type="numbering" w:styleId="112">
    <w:name w:val="Нумерованный 1)"/>
    <w:qFormat/>
  </w:style>
  <w:style w:type="numbering" w:styleId="Style78">
    <w:name w:val="Нумерованный а)"/>
    <w:qFormat/>
  </w:style>
  <w:style w:type="numbering" w:styleId="Style79">
    <w:name w:val="Нумерованный для таблиц"/>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chart" Target="charts/chart1.xml"/><Relationship Id="rId3" Type="http://schemas.openxmlformats.org/officeDocument/2006/relationships/chart" Target="charts/chart2.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word/charts/chart1.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sz="1300" spc="-1" strike="noStrike">
                <a:solidFill>
                  <a:srgbClr val="000000"/>
                </a:solidFill>
                <a:latin typeface="Arial"/>
              </a:defRPr>
            </a:pPr>
            <a:r>
              <a:rPr b="0" sz="1300" spc="-1" strike="noStrike">
                <a:solidFill>
                  <a:srgbClr val="000000"/>
                </a:solidFill>
                <a:latin typeface="Arial"/>
              </a:rPr>
              <a:t>Пожары с гибелью несовершеннолетних</a:t>
            </a:r>
          </a:p>
        </c:rich>
      </c:tx>
      <c:overlay val="0"/>
      <c:spPr>
        <a:noFill/>
        <a:ln>
          <a:noFill/>
        </a:ln>
      </c:spPr>
    </c:title>
    <c:autoTitleDeleted val="0"/>
    <c:view3D>
      <c:rotX val="11"/>
      <c:rotY val="25"/>
      <c:rAngAx val="1"/>
      <c:perspective val="40"/>
    </c:view3D>
    <c:floor>
      <c:spPr>
        <a:solidFill>
          <a:srgbClr val="cccccc"/>
        </a:solidFill>
        <a:ln>
          <a:noFill/>
        </a:ln>
      </c:spPr>
    </c:floor>
    <c:sideWall>
      <c:spPr>
        <a:noFill/>
        <a:ln>
          <a:solidFill>
            <a:srgbClr val="b3b3b3"/>
          </a:solidFill>
        </a:ln>
      </c:spPr>
    </c:sideWall>
    <c:backWall>
      <c:spPr>
        <a:noFill/>
        <a:ln>
          <a:solidFill>
            <a:srgbClr val="b3b3b3"/>
          </a:solidFill>
        </a:ln>
      </c:spPr>
    </c:backWall>
    <c:plotArea>
      <c:layout>
        <c:manualLayout>
          <c:layoutTarget val="inner"/>
          <c:xMode val="edge"/>
          <c:yMode val="edge"/>
          <c:x val="0.0655"/>
          <c:y val="0.145666666666667"/>
          <c:w val="0.78625"/>
          <c:h val="0.760777777777778"/>
        </c:manualLayout>
      </c:layout>
      <c:bar3DChart>
        <c:barDir val="col"/>
        <c:grouping val="clustered"/>
        <c:varyColors val="0"/>
        <c:ser>
          <c:idx val="0"/>
          <c:order val="0"/>
          <c:tx>
            <c:strRef>
              <c:f>label 0</c:f>
              <c:strCache>
                <c:ptCount val="1"/>
                <c:pt idx="0">
                  <c:v>Строка 3</c:v>
                </c:pt>
              </c:strCache>
            </c:strRef>
          </c:tx>
          <c:spPr>
            <a:solidFill>
              <a:srgbClr val="004586"/>
            </a:solidFill>
            <a:ln>
              <a:solidFill>
                <a:srgbClr val="000000"/>
              </a:solidFill>
            </a:ln>
          </c:spPr>
          <c:invertIfNegative val="0"/>
          <c:dLbls>
            <c:numFmt formatCode="General" sourceLinked="0"/>
            <c:txPr>
              <a:bodyPr/>
              <a:lstStyle/>
              <a:p>
                <a:pPr>
                  <a:defRPr b="0" sz="1000" spc="-1" strike="noStrike">
                    <a:solidFill>
                      <a:srgbClr val="000000"/>
                    </a:solidFill>
                    <a:latin typeface="Arial"/>
                  </a:defRPr>
                </a:pPr>
              </a:p>
            </c:txPr>
            <c:showLegendKey val="0"/>
            <c:showVal val="1"/>
            <c:showCatName val="0"/>
            <c:showSerName val="0"/>
            <c:showPercent val="0"/>
            <c:separator> </c:separator>
            <c:showLeaderLines val="0"/>
          </c:dLbls>
          <c:cat>
            <c:strRef>
              <c:f>categories</c:f>
              <c:strCache>
                <c:ptCount val="5"/>
                <c:pt idx="0">
                  <c:v>2018 г.</c:v>
                </c:pt>
                <c:pt idx="1">
                  <c:v>2019 г.</c:v>
                </c:pt>
                <c:pt idx="2">
                  <c:v>2020 г.</c:v>
                </c:pt>
                <c:pt idx="3">
                  <c:v>2021 г.</c:v>
                </c:pt>
                <c:pt idx="4">
                  <c:v>2022 г.</c:v>
                </c:pt>
              </c:strCache>
            </c:strRef>
          </c:cat>
          <c:val>
            <c:numRef>
              <c:f>0</c:f>
              <c:numCache>
                <c:formatCode>General</c:formatCode>
                <c:ptCount val="5"/>
                <c:pt idx="0">
                  <c:v>9</c:v>
                </c:pt>
                <c:pt idx="1">
                  <c:v>11</c:v>
                </c:pt>
                <c:pt idx="2">
                  <c:v>9</c:v>
                </c:pt>
                <c:pt idx="3">
                  <c:v>11</c:v>
                </c:pt>
                <c:pt idx="4">
                  <c:v>10</c:v>
                </c:pt>
              </c:numCache>
            </c:numRef>
          </c:val>
        </c:ser>
        <c:gapWidth val="100"/>
        <c:shape val="box"/>
        <c:axId val="9984825"/>
        <c:axId val="61880162"/>
        <c:axId val="0"/>
      </c:bar3DChart>
      <c:catAx>
        <c:axId val="9984825"/>
        <c:scaling>
          <c:orientation val="minMax"/>
        </c:scaling>
        <c:delete val="0"/>
        <c:axPos val="b"/>
        <c:numFmt formatCode="[$-419]dd/mm/yyyy" sourceLinked="1"/>
        <c:majorTickMark val="out"/>
        <c:minorTickMark val="none"/>
        <c:tickLblPos val="nextTo"/>
        <c:spPr>
          <a:ln>
            <a:solidFill>
              <a:srgbClr val="b3b3b3"/>
            </a:solidFill>
          </a:ln>
        </c:spPr>
        <c:txPr>
          <a:bodyPr/>
          <a:lstStyle/>
          <a:p>
            <a:pPr>
              <a:defRPr b="0" sz="1000" spc="-1" strike="noStrike">
                <a:solidFill>
                  <a:srgbClr val="000000"/>
                </a:solidFill>
                <a:latin typeface="Arial"/>
              </a:defRPr>
            </a:pPr>
          </a:p>
        </c:txPr>
        <c:crossAx val="61880162"/>
        <c:crosses val="autoZero"/>
        <c:auto val="1"/>
        <c:lblAlgn val="ctr"/>
        <c:lblOffset val="100"/>
        <c:noMultiLvlLbl val="0"/>
      </c:catAx>
      <c:valAx>
        <c:axId val="61880162"/>
        <c:scaling>
          <c:orientation val="minMax"/>
        </c:scaling>
        <c:delete val="0"/>
        <c:axPos val="l"/>
        <c:majorGridlines>
          <c:spPr>
            <a:ln>
              <a:solidFill>
                <a:srgbClr val="b3b3b3"/>
              </a:solidFill>
            </a:ln>
          </c:spPr>
        </c:majorGridlines>
        <c:numFmt formatCode="General" sourceLinked="0"/>
        <c:majorTickMark val="out"/>
        <c:minorTickMark val="none"/>
        <c:tickLblPos val="nextTo"/>
        <c:spPr>
          <a:ln>
            <a:solidFill>
              <a:srgbClr val="b3b3b3"/>
            </a:solidFill>
          </a:ln>
        </c:spPr>
        <c:txPr>
          <a:bodyPr/>
          <a:lstStyle/>
          <a:p>
            <a:pPr>
              <a:defRPr b="0" sz="1000" spc="-1" strike="noStrike">
                <a:solidFill>
                  <a:srgbClr val="000000"/>
                </a:solidFill>
                <a:latin typeface="Arial"/>
              </a:defRPr>
            </a:pPr>
          </a:p>
        </c:txPr>
        <c:crossAx val="9984825"/>
        <c:crosses val="autoZero"/>
        <c:crossBetween val="between"/>
      </c:valAx>
    </c:plotArea>
    <c:plotVisOnly val="1"/>
    <c:dispBlanksAs val="gap"/>
  </c:chart>
  <c:spPr>
    <a:solidFill>
      <a:srgbClr val="ffffff"/>
    </a:solidFill>
    <a:ln w="9360">
      <a:noFill/>
    </a:ln>
  </c:spPr>
</c:chartSpace>
</file>

<file path=word/charts/chart2.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sz="1300" spc="-1" strike="noStrike">
                <a:solidFill>
                  <a:srgbClr val="000000"/>
                </a:solidFill>
                <a:latin typeface="Arial"/>
              </a:defRPr>
            </a:pPr>
            <a:r>
              <a:rPr b="0" sz="1300" spc="-1" strike="noStrike">
                <a:solidFill>
                  <a:srgbClr val="000000"/>
                </a:solidFill>
                <a:latin typeface="Arial"/>
              </a:rPr>
              <a:t>Количество погибших несовершеннолетних</a:t>
            </a:r>
          </a:p>
        </c:rich>
      </c:tx>
      <c:overlay val="0"/>
      <c:spPr>
        <a:noFill/>
        <a:ln>
          <a:noFill/>
        </a:ln>
      </c:spPr>
    </c:title>
    <c:autoTitleDeleted val="0"/>
    <c:view3D>
      <c:rotX val="11"/>
      <c:rotY val="25"/>
      <c:rAngAx val="1"/>
      <c:perspective val="40"/>
    </c:view3D>
    <c:floor>
      <c:spPr>
        <a:solidFill>
          <a:srgbClr val="cccccc"/>
        </a:solidFill>
        <a:ln>
          <a:noFill/>
        </a:ln>
      </c:spPr>
    </c:floor>
    <c:sideWall>
      <c:spPr>
        <a:noFill/>
        <a:ln>
          <a:solidFill>
            <a:srgbClr val="b3b3b3"/>
          </a:solidFill>
        </a:ln>
      </c:spPr>
    </c:sideWall>
    <c:backWall>
      <c:spPr>
        <a:noFill/>
        <a:ln>
          <a:solidFill>
            <a:srgbClr val="b3b3b3"/>
          </a:solidFill>
        </a:ln>
      </c:spPr>
    </c:backWall>
    <c:plotArea>
      <c:bar3DChart>
        <c:barDir val="col"/>
        <c:grouping val="clustered"/>
        <c:varyColors val="0"/>
        <c:ser>
          <c:idx val="0"/>
          <c:order val="0"/>
          <c:tx>
            <c:strRef>
              <c:f>label 0</c:f>
              <c:strCache>
                <c:ptCount val="1"/>
                <c:pt idx="0">
                  <c:v>Строка 7</c:v>
                </c:pt>
              </c:strCache>
            </c:strRef>
          </c:tx>
          <c:spPr>
            <a:solidFill>
              <a:srgbClr val="004586"/>
            </a:solidFill>
            <a:ln>
              <a:solidFill>
                <a:srgbClr val="000000"/>
              </a:solidFill>
            </a:ln>
          </c:spPr>
          <c:invertIfNegative val="0"/>
          <c:dLbls>
            <c:numFmt formatCode="General" sourceLinked="0"/>
            <c:txPr>
              <a:bodyPr/>
              <a:lstStyle/>
              <a:p>
                <a:pPr>
                  <a:defRPr b="0" sz="1000" spc="-1" strike="noStrike">
                    <a:solidFill>
                      <a:srgbClr val="000000"/>
                    </a:solidFill>
                    <a:latin typeface="Arial"/>
                  </a:defRPr>
                </a:pPr>
              </a:p>
            </c:txPr>
            <c:showLegendKey val="0"/>
            <c:showVal val="1"/>
            <c:showCatName val="0"/>
            <c:showSerName val="0"/>
            <c:showPercent val="0"/>
            <c:separator> </c:separator>
            <c:showLeaderLines val="0"/>
          </c:dLbls>
          <c:cat>
            <c:strRef>
              <c:f>categories</c:f>
              <c:strCache>
                <c:ptCount val="5"/>
                <c:pt idx="0">
                  <c:v>2018 г.</c:v>
                </c:pt>
                <c:pt idx="1">
                  <c:v>2019 г.</c:v>
                </c:pt>
                <c:pt idx="2">
                  <c:v>2020 г.</c:v>
                </c:pt>
                <c:pt idx="3">
                  <c:v>2021 г.</c:v>
                </c:pt>
                <c:pt idx="4">
                  <c:v>2022 г.</c:v>
                </c:pt>
              </c:strCache>
            </c:strRef>
          </c:cat>
          <c:val>
            <c:numRef>
              <c:f>0</c:f>
              <c:numCache>
                <c:formatCode>General</c:formatCode>
                <c:ptCount val="5"/>
                <c:pt idx="0">
                  <c:v>16</c:v>
                </c:pt>
                <c:pt idx="1">
                  <c:v>16</c:v>
                </c:pt>
                <c:pt idx="2">
                  <c:v>13</c:v>
                </c:pt>
                <c:pt idx="3">
                  <c:v>18</c:v>
                </c:pt>
                <c:pt idx="4">
                  <c:v>13</c:v>
                </c:pt>
              </c:numCache>
            </c:numRef>
          </c:val>
        </c:ser>
        <c:gapWidth val="100"/>
        <c:shape val="box"/>
        <c:axId val="82824849"/>
        <c:axId val="2080885"/>
        <c:axId val="0"/>
      </c:bar3DChart>
      <c:catAx>
        <c:axId val="82824849"/>
        <c:scaling>
          <c:orientation val="minMax"/>
        </c:scaling>
        <c:delete val="0"/>
        <c:axPos val="b"/>
        <c:numFmt formatCode="[$-419]dd/mm/yyyy" sourceLinked="1"/>
        <c:majorTickMark val="out"/>
        <c:minorTickMark val="none"/>
        <c:tickLblPos val="nextTo"/>
        <c:spPr>
          <a:ln>
            <a:solidFill>
              <a:srgbClr val="b3b3b3"/>
            </a:solidFill>
          </a:ln>
        </c:spPr>
        <c:txPr>
          <a:bodyPr/>
          <a:lstStyle/>
          <a:p>
            <a:pPr>
              <a:defRPr b="0" sz="1000" spc="-1" strike="noStrike">
                <a:solidFill>
                  <a:srgbClr val="000000"/>
                </a:solidFill>
                <a:latin typeface="Arial"/>
              </a:defRPr>
            </a:pPr>
          </a:p>
        </c:txPr>
        <c:crossAx val="2080885"/>
        <c:crosses val="autoZero"/>
        <c:auto val="1"/>
        <c:lblAlgn val="ctr"/>
        <c:lblOffset val="100"/>
        <c:noMultiLvlLbl val="0"/>
      </c:catAx>
      <c:valAx>
        <c:axId val="2080885"/>
        <c:scaling>
          <c:orientation val="minMax"/>
        </c:scaling>
        <c:delete val="0"/>
        <c:axPos val="l"/>
        <c:majorGridlines>
          <c:spPr>
            <a:ln>
              <a:solidFill>
                <a:srgbClr val="b3b3b3"/>
              </a:solidFill>
            </a:ln>
          </c:spPr>
        </c:majorGridlines>
        <c:numFmt formatCode="General" sourceLinked="0"/>
        <c:majorTickMark val="out"/>
        <c:minorTickMark val="none"/>
        <c:tickLblPos val="nextTo"/>
        <c:spPr>
          <a:ln>
            <a:solidFill>
              <a:srgbClr val="b3b3b3"/>
            </a:solidFill>
          </a:ln>
        </c:spPr>
        <c:txPr>
          <a:bodyPr/>
          <a:lstStyle/>
          <a:p>
            <a:pPr>
              <a:defRPr b="0" sz="1000" spc="-1" strike="noStrike">
                <a:solidFill>
                  <a:srgbClr val="000000"/>
                </a:solidFill>
                <a:latin typeface="Arial"/>
              </a:defRPr>
            </a:pPr>
          </a:p>
        </c:txPr>
        <c:crossAx val="82824849"/>
        <c:crosses val="autoZero"/>
        <c:crossBetween val="between"/>
      </c:valAx>
    </c:plotArea>
    <c:plotVisOnly val="1"/>
    <c:dispBlanksAs val="gap"/>
  </c:chart>
  <c:spPr>
    <a:solidFill>
      <a:srgbClr val="ffffff"/>
    </a:solidFill>
    <a:ln w="9360">
      <a:noFill/>
    </a:ln>
  </c:spPr>
</c:chartSpace>
</file>

<file path=docProps/app.xml><?xml version="1.0" encoding="utf-8"?>
<Properties xmlns="http://schemas.openxmlformats.org/officeDocument/2006/extended-properties" xmlns:vt="http://schemas.openxmlformats.org/officeDocument/2006/docPropsVTypes">
  <Template/>
  <TotalTime>20</TotalTime>
  <Application>LibreOffice/6.4.4.2$Linux_X86_64 LibreOffice_project/40$Build-2</Application>
  <Pages>3</Pages>
  <Words>581</Words>
  <Characters>4027</Characters>
  <CharactersWithSpaces>4600</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2023-01-12T16:14:52Z</dcterms:created>
  <dc:creator/>
  <dc:description/>
  <dc:language>ru-RU</dc:language>
  <cp:lastModifiedBy/>
  <dcterms:modified xsi:type="dcterms:W3CDTF">2023-01-16T16:17:14Z</dcterms:modified>
  <cp:revision>7</cp:revision>
  <dc:subject/>
  <dc:title>Default</dc:title>
</cp:coreProperties>
</file>